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C769" w14:textId="77777777" w:rsidR="00930DA3" w:rsidRPr="00930DA3" w:rsidRDefault="00930DA3" w:rsidP="00930DA3">
      <w:pPr>
        <w:rPr>
          <w:rFonts w:eastAsia="MS Mincho" w:cs="Times New Roman"/>
          <w:b/>
          <w:color w:val="E63E30"/>
          <w:sz w:val="32"/>
          <w:lang w:eastAsia="es-ES"/>
        </w:rPr>
      </w:pPr>
      <w:r w:rsidRPr="00930DA3">
        <w:rPr>
          <w:rFonts w:eastAsia="MS Mincho" w:cs="Times New Roman"/>
          <w:b/>
          <w:color w:val="E63E30"/>
          <w:sz w:val="32"/>
          <w:lang w:eastAsia="es-ES"/>
        </w:rPr>
        <w:t>Nota informativa: análisis del real decreto-ley 1/2023, de 10 de enero, de medidas urgentes en materia de incentivos a la contratación laboral y mejora de la protección social de las personas artistas</w:t>
      </w:r>
    </w:p>
    <w:p w14:paraId="48C4C706" w14:textId="77777777" w:rsidR="00195D91" w:rsidRDefault="00195D91" w:rsidP="00195D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b/>
          <w:color w:val="405364"/>
        </w:rPr>
      </w:pPr>
    </w:p>
    <w:p w14:paraId="098EB15E" w14:textId="4A542E06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b/>
          <w:color w:val="244061"/>
          <w:szCs w:val="20"/>
        </w:rPr>
      </w:pPr>
      <w:r>
        <w:rPr>
          <w:rFonts w:eastAsia="Century Gothic" w:cs="Century Gothic"/>
          <w:b/>
          <w:color w:val="244061"/>
          <w:szCs w:val="20"/>
        </w:rPr>
        <w:t>19/01/2023</w:t>
      </w:r>
    </w:p>
    <w:p w14:paraId="59F2FE8D" w14:textId="0AFC3BCC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b/>
          <w:color w:val="244061"/>
          <w:szCs w:val="20"/>
        </w:rPr>
      </w:pPr>
      <w:r w:rsidRPr="00276C6A">
        <w:rPr>
          <w:rFonts w:eastAsia="MS Mincho" w:cs="Times New Roman"/>
          <w:color w:val="405364"/>
          <w:lang w:eastAsia="es-ES"/>
        </w:rPr>
        <w:t>E</w:t>
      </w:r>
      <w:r>
        <w:rPr>
          <w:rFonts w:eastAsia="MS Mincho" w:cs="Times New Roman"/>
          <w:color w:val="405364"/>
          <w:lang w:eastAsia="es-ES"/>
        </w:rPr>
        <w:t>l Consejo de ministros ha aprobado y publicado en el BOE, de 11 de enero de 2023, el Real Decreto-Ley 1/2023, de 10 de enero “</w:t>
      </w:r>
      <w:r>
        <w:rPr>
          <w:rFonts w:eastAsia="MS Mincho" w:cs="Times New Roman"/>
          <w:i/>
          <w:iCs/>
          <w:color w:val="405364"/>
          <w:lang w:eastAsia="es-ES"/>
        </w:rPr>
        <w:t xml:space="preserve">de medidas urgentes en materia de incentivos a la contratación laboral y mejora de la protección social de personas artistas”, </w:t>
      </w:r>
      <w:r>
        <w:rPr>
          <w:rFonts w:eastAsia="MS Mincho" w:cs="Times New Roman"/>
          <w:color w:val="405364"/>
          <w:lang w:eastAsia="es-ES"/>
        </w:rPr>
        <w:t xml:space="preserve">en el cual se desarrolla, entre otras medidas, nuevos incentivos a la contratación laboral; </w:t>
      </w:r>
      <w:r w:rsidRPr="006271B2">
        <w:rPr>
          <w:rFonts w:eastAsia="MS Mincho" w:cs="Times New Roman"/>
          <w:color w:val="405364"/>
          <w:u w:val="single"/>
          <w:lang w:eastAsia="es-ES"/>
        </w:rPr>
        <w:t>la primera prestación especial por desempleo para el sector cultural y artístico</w:t>
      </w:r>
      <w:r>
        <w:rPr>
          <w:rFonts w:eastAsia="MS Mincho" w:cs="Times New Roman"/>
          <w:color w:val="405364"/>
          <w:u w:val="single"/>
          <w:lang w:eastAsia="es-ES"/>
        </w:rPr>
        <w:t>; así como la compatibilidad entre la pensión de jubilación y la realización de actividades artísticas</w:t>
      </w:r>
      <w:r>
        <w:rPr>
          <w:rFonts w:eastAsia="MS Mincho" w:cs="Times New Roman"/>
          <w:color w:val="405364"/>
          <w:lang w:eastAsia="es-ES"/>
        </w:rPr>
        <w:t>.</w:t>
      </w:r>
    </w:p>
    <w:p w14:paraId="5A1C597D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0CA1EA54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  <w:r>
        <w:rPr>
          <w:rFonts w:eastAsia="MS Mincho" w:cs="Times New Roman"/>
          <w:color w:val="405364"/>
          <w:lang w:eastAsia="es-ES"/>
        </w:rPr>
        <w:t xml:space="preserve">Por su parte, el sector artístico, en el cual se incluyen las relaciones sustantivas entre empleadores y trabajadores, por cuenta ajena o por cuenta propia, está esencialmente regulado, en lo que respecta a la relación laboral especial de artistas, por el Real Decreto 1435/1985, el cual fue modificado parcialmente por el Real Decreto-ley 5/2022, de 22 de marzo. </w:t>
      </w:r>
    </w:p>
    <w:p w14:paraId="3AA74ACB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2A651F0E" w14:textId="516E34CD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  <w:r>
        <w:rPr>
          <w:rFonts w:eastAsia="MS Mincho" w:cs="Times New Roman"/>
          <w:color w:val="405364"/>
          <w:lang w:eastAsia="es-ES"/>
        </w:rPr>
        <w:t>A la vista de lo mencionado en los párrafos anteriores, procedemos a analizar los aspectos más relevantes que han sido regulados en el mencionado Real Decreto-Ley.</w:t>
      </w:r>
    </w:p>
    <w:p w14:paraId="04652452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372F1529" w14:textId="77777777" w:rsidR="00930DA3" w:rsidRPr="00B10808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</w:rPr>
      </w:pPr>
      <w:r>
        <w:rPr>
          <w:rFonts w:ascii="Century Gothic" w:eastAsia="MS Mincho" w:hAnsi="Century Gothic" w:cs="Times New Roman"/>
          <w:b/>
          <w:bCs/>
          <w:color w:val="405364"/>
          <w:sz w:val="20"/>
          <w:u w:val="single"/>
        </w:rPr>
        <w:t xml:space="preserve">Duración y cuantía de la prestación especial por desempleo aplicable al régimen de artistas </w:t>
      </w:r>
    </w:p>
    <w:p w14:paraId="244BA8A7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0591D195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 xml:space="preserve">La prestación especial por desempleo tendrá una duración de cuatro meses, teniendo derecho a percibir las siguientes cuantías: </w:t>
      </w:r>
    </w:p>
    <w:p w14:paraId="4621FC79" w14:textId="77777777" w:rsidR="00930DA3" w:rsidRPr="00B10808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20DF8267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600 euros al mes, es decir, el 100% del IPREM, si la cotización mensual es superior a 61 euros.</w:t>
      </w:r>
    </w:p>
    <w:p w14:paraId="399A7818" w14:textId="77777777" w:rsidR="00930DA3" w:rsidRPr="00987244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 w:rsidRPr="00987244">
        <w:rPr>
          <w:rFonts w:ascii="Century Gothic" w:eastAsia="Century Gothic" w:hAnsi="Century Gothic" w:cs="Century Gothic"/>
          <w:color w:val="244061"/>
          <w:sz w:val="20"/>
          <w:szCs w:val="20"/>
        </w:rPr>
        <w:t>480 euros al mes, es decir, el 80% del IPREM, si la cotización mensual es inferior a 61 euros.</w:t>
      </w:r>
    </w:p>
    <w:p w14:paraId="75FDFFEA" w14:textId="77777777" w:rsidR="00930DA3" w:rsidRPr="00987244" w:rsidRDefault="00930DA3" w:rsidP="00930D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</w:p>
    <w:p w14:paraId="2C4FB3FD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  <w:r>
        <w:rPr>
          <w:rFonts w:eastAsia="Century Gothic" w:cs="Century Gothic"/>
          <w:color w:val="244061"/>
          <w:szCs w:val="20"/>
        </w:rPr>
        <w:t xml:space="preserve">También es importante señalar que debido a que el trabajo en el sector audiovisual tiene un carácter intermitente, sobre todo para el personal técnico, ha llevado a la Seguridad Social a contemplar dos tipos de periodos de cotización. </w:t>
      </w:r>
    </w:p>
    <w:p w14:paraId="08B8ADAE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</w:p>
    <w:p w14:paraId="2FEBAB9A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Se deben acreditar 60 días cotizados en un trabajo de la actividad artística en los últimos 18 meses, todo ello antes de darse de alta en el paro.</w:t>
      </w:r>
    </w:p>
    <w:p w14:paraId="7F23000B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O, acreditar que se han podido cotizar 180 días en una actividad artística en los últimos seis años.</w:t>
      </w:r>
    </w:p>
    <w:p w14:paraId="7CC5A2AC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</w:p>
    <w:p w14:paraId="78D74121" w14:textId="73D0F6B6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  <w:r>
        <w:rPr>
          <w:rFonts w:eastAsia="Century Gothic" w:cs="Century Gothic"/>
          <w:color w:val="244061"/>
          <w:szCs w:val="20"/>
        </w:rPr>
        <w:t xml:space="preserve">Debe quedar claro, que </w:t>
      </w:r>
      <w:r w:rsidRPr="00A841D0">
        <w:rPr>
          <w:rFonts w:eastAsia="Century Gothic" w:cs="Century Gothic"/>
          <w:b/>
          <w:bCs/>
          <w:color w:val="244061"/>
          <w:szCs w:val="20"/>
          <w:u w:val="single"/>
        </w:rPr>
        <w:t>estos días cotizados no se han podido utilizar para recibir otra prestación de la Seguridad Social</w:t>
      </w:r>
      <w:r>
        <w:rPr>
          <w:rFonts w:eastAsia="Century Gothic" w:cs="Century Gothic"/>
          <w:color w:val="244061"/>
          <w:szCs w:val="20"/>
        </w:rPr>
        <w:t xml:space="preserve">. </w:t>
      </w:r>
    </w:p>
    <w:p w14:paraId="0EFD6723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  <w:r>
        <w:rPr>
          <w:rFonts w:eastAsia="Century Gothic" w:cs="Century Gothic"/>
          <w:color w:val="244061"/>
          <w:szCs w:val="20"/>
        </w:rPr>
        <w:t>La prestación especial por desempleo solamente es compatible con una modalidad no contributiva. En el caso de querer obtener una prestación por desempleo de cuatro</w:t>
      </w:r>
      <w:r>
        <w:rPr>
          <w:rFonts w:eastAsia="Century Gothic" w:cs="Century Gothic"/>
          <w:color w:val="244061"/>
          <w:szCs w:val="20"/>
        </w:rPr>
        <w:t xml:space="preserve"> </w:t>
      </w:r>
      <w:r>
        <w:rPr>
          <w:rFonts w:eastAsia="Century Gothic" w:cs="Century Gothic"/>
          <w:color w:val="244061"/>
          <w:szCs w:val="20"/>
        </w:rPr>
        <w:t xml:space="preserve">meses de duración, mediante una modalidad contributiva, </w:t>
      </w:r>
      <w:r>
        <w:rPr>
          <w:rFonts w:eastAsia="Century Gothic" w:cs="Century Gothic"/>
          <w:b/>
          <w:bCs/>
          <w:color w:val="244061"/>
          <w:szCs w:val="20"/>
        </w:rPr>
        <w:t xml:space="preserve">será necesario haber cotizado durante al menos, un año. </w:t>
      </w:r>
      <w:r>
        <w:rPr>
          <w:rFonts w:eastAsia="Century Gothic" w:cs="Century Gothic"/>
          <w:color w:val="244061"/>
          <w:szCs w:val="20"/>
        </w:rPr>
        <w:t xml:space="preserve">En este caso, la prestación siempre dura siempre un tercio del tiempo cotizado, hasta una duración máxima de dos años. </w:t>
      </w:r>
      <w:bookmarkStart w:id="0" w:name="_Hlk124359382"/>
    </w:p>
    <w:p w14:paraId="4E5D88C6" w14:textId="77777777" w:rsidR="00930DA3" w:rsidRPr="00652FAA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</w:p>
    <w:p w14:paraId="7554EB25" w14:textId="77777777" w:rsidR="00930DA3" w:rsidRPr="00513E69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244061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244061"/>
          <w:sz w:val="20"/>
          <w:szCs w:val="20"/>
          <w:u w:val="single"/>
        </w:rPr>
        <w:t>Incentivos a la contratación laboral y beneficiarios.</w:t>
      </w:r>
    </w:p>
    <w:bookmarkEnd w:id="0"/>
    <w:p w14:paraId="55CDD4C3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54683373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  <w:r>
        <w:rPr>
          <w:rFonts w:eastAsia="MS Mincho" w:cs="Times New Roman"/>
          <w:color w:val="405364"/>
          <w:lang w:eastAsia="es-ES"/>
        </w:rPr>
        <w:t xml:space="preserve">A continuación, se mencionan quienes podrán ser beneficiarios de los incentivos previstos en el </w:t>
      </w:r>
      <w:bookmarkStart w:id="1" w:name="_Hlk124863507"/>
      <w:r>
        <w:rPr>
          <w:rFonts w:eastAsia="MS Mincho" w:cs="Times New Roman"/>
          <w:color w:val="405364"/>
          <w:lang w:eastAsia="es-ES"/>
        </w:rPr>
        <w:t>RD-Ley 1/2023</w:t>
      </w:r>
      <w:bookmarkEnd w:id="1"/>
      <w:r>
        <w:rPr>
          <w:rFonts w:eastAsia="MS Mincho" w:cs="Times New Roman"/>
          <w:color w:val="405364"/>
          <w:lang w:eastAsia="es-ES"/>
        </w:rPr>
        <w:t>:</w:t>
      </w:r>
    </w:p>
    <w:p w14:paraId="3C8AB139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2FBDA782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Las empresas u otros empleadores.</w:t>
      </w:r>
    </w:p>
    <w:p w14:paraId="19CFEADD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Las personas trabajadoras por cuenta propia o autónomas.</w:t>
      </w:r>
    </w:p>
    <w:p w14:paraId="5871E272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Las sociedades laborales o cooperativas por la incorporación de personas socias trabajadoras o de trabajo. </w:t>
      </w:r>
    </w:p>
    <w:p w14:paraId="2409182A" w14:textId="77777777" w:rsidR="00930DA3" w:rsidRPr="005F110F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Las entidades públicas y privadas sin ánimo de lucro, a excepción de la Administración General del Estado, la Administración de las comunidades autónomas y las entidades y las entidades que integran la Administración local, así como los organismos públicos y demás entidades de derecho público con personalidad jurídica propia vinculadas o dependientes de cualquiera de las Administraciones señaladas anteriormente.</w:t>
      </w:r>
    </w:p>
    <w:p w14:paraId="0BF0DA8E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31FD1E27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567A8A38" w14:textId="77777777" w:rsidR="00930DA3" w:rsidRPr="00A661AD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244061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244061"/>
          <w:sz w:val="20"/>
          <w:szCs w:val="20"/>
          <w:u w:val="single"/>
        </w:rPr>
        <w:t xml:space="preserve">Requisitos para el acceso a los incentivos. </w:t>
      </w:r>
    </w:p>
    <w:p w14:paraId="36156E32" w14:textId="77777777" w:rsidR="00930DA3" w:rsidRDefault="00930DA3" w:rsidP="00930DA3">
      <w:pPr>
        <w:spacing w:after="0" w:line="276" w:lineRule="auto"/>
        <w:rPr>
          <w:rFonts w:eastAsia="MS Mincho" w:cs="Times New Roman"/>
          <w:b/>
          <w:bCs/>
          <w:color w:val="405364"/>
          <w:u w:val="single"/>
          <w:lang w:eastAsia="es-ES"/>
        </w:rPr>
      </w:pPr>
    </w:p>
    <w:p w14:paraId="6F31448F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  <w:r>
        <w:rPr>
          <w:rFonts w:eastAsia="MS Mincho" w:cs="Times New Roman"/>
          <w:color w:val="405364"/>
          <w:lang w:eastAsia="es-ES"/>
        </w:rPr>
        <w:t>Para poder acceder a los distintos incentivos, los beneficiarios y beneficiarias deberán de cumplir con los siguientes requisitos:</w:t>
      </w:r>
    </w:p>
    <w:p w14:paraId="50201E54" w14:textId="77777777" w:rsidR="00930DA3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7B386A6F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bookmarkStart w:id="2" w:name="_Hlk124361286"/>
      <w:r>
        <w:rPr>
          <w:rFonts w:ascii="Century Gothic" w:eastAsia="Century Gothic" w:hAnsi="Century Gothic" w:cs="Century Gothic"/>
          <w:color w:val="244061"/>
          <w:sz w:val="20"/>
          <w:szCs w:val="20"/>
        </w:rPr>
        <w:t>No haber sido inhabilitado para obtener subvenciones y ayudas públicas y para gozar de beneficios e incentivos fiscales o de la Seguridad Social.</w:t>
      </w:r>
    </w:p>
    <w:p w14:paraId="3E581012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Respecto de los beneficios en las cotizaciones de la Seguridad Social, no haber sido excluido del acceso a las ayudas, subvenciones, bonificaciones y beneficios derivados 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lastRenderedPageBreak/>
        <w:t xml:space="preserve">de la aplicación de los programas de empleo o formación profesional para el empleo, por la comisión de infracciones graves o muy graves no prescrita (artículos 46 y 46 bis de la LISOS). </w:t>
      </w:r>
    </w:p>
    <w:p w14:paraId="536D642B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Respecto de las subvenciones públicas, no haber sido excluido del acceso a los beneficios derivados de la aplicación de programas de empleo por la comisión de infracciones graves o muy graves no prescritas, de conformidad con lo previsto en los artículos 62 y 63 de la Ley 38/2003, de 17 de noviembre, General de Subvenciones. </w:t>
      </w:r>
      <w:bookmarkEnd w:id="2"/>
    </w:p>
    <w:p w14:paraId="26A8B976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Hallarse al corriente en el cumplimiento de sus obligaciones tributarias.</w:t>
      </w:r>
    </w:p>
    <w:p w14:paraId="31DFB6AA" w14:textId="020E54D4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Contar con </w:t>
      </w:r>
      <w:r w:rsidRPr="00652FAA">
        <w:rPr>
          <w:rFonts w:ascii="Century Gothic" w:eastAsia="Century Gothic" w:hAnsi="Century Gothic" w:cs="Century Gothic"/>
          <w:color w:val="244061"/>
          <w:sz w:val="20"/>
          <w:szCs w:val="20"/>
          <w:u w:val="single"/>
        </w:rPr>
        <w:t>el correspondiente plan de igualdad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>, en el caso de las empresas obligadas legal o convencionalmente a su implantación (artículo 45 de la Ley Orgánica para la Igualdad efectiva de Mujeres y Hombres), siendo requisito de cumplimiento legal con la inscripción obligatoria del Plan, en el registro público habilitado a tal efecto.</w:t>
      </w:r>
    </w:p>
    <w:p w14:paraId="6E6F6694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color w:val="244061"/>
          <w:szCs w:val="20"/>
        </w:rPr>
      </w:pPr>
    </w:p>
    <w:p w14:paraId="7D561B32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color w:val="244061"/>
          <w:szCs w:val="20"/>
        </w:rPr>
      </w:pPr>
      <w:r>
        <w:rPr>
          <w:rFonts w:eastAsia="Century Gothic" w:cs="Century Gothic"/>
          <w:color w:val="244061"/>
          <w:szCs w:val="20"/>
        </w:rPr>
        <w:t xml:space="preserve">Asimismo, es importante destacar </w:t>
      </w:r>
      <w:proofErr w:type="gramStart"/>
      <w:r>
        <w:rPr>
          <w:rFonts w:eastAsia="Century Gothic" w:cs="Century Gothic"/>
          <w:color w:val="244061"/>
          <w:szCs w:val="20"/>
        </w:rPr>
        <w:t>que</w:t>
      </w:r>
      <w:proofErr w:type="gramEnd"/>
      <w:r>
        <w:rPr>
          <w:rFonts w:eastAsia="Century Gothic" w:cs="Century Gothic"/>
          <w:color w:val="244061"/>
          <w:szCs w:val="20"/>
        </w:rPr>
        <w:t xml:space="preserve"> </w:t>
      </w:r>
      <w:r>
        <w:rPr>
          <w:rFonts w:eastAsia="Century Gothic" w:cs="Century Gothic"/>
          <w:b/>
          <w:bCs/>
          <w:color w:val="244061"/>
          <w:szCs w:val="20"/>
        </w:rPr>
        <w:t xml:space="preserve">en las bonificaciones a la contratación laboral indefinida, </w:t>
      </w:r>
      <w:r>
        <w:rPr>
          <w:rFonts w:eastAsia="Century Gothic" w:cs="Century Gothic"/>
          <w:color w:val="244061"/>
          <w:szCs w:val="20"/>
        </w:rPr>
        <w:t>el beneficiario deberá mantener a la persona destinataria de estas medidas en situación de alta, o asimilada al alta con obligación de cotizar, en el régimen</w:t>
      </w:r>
      <w:r>
        <w:rPr>
          <w:rFonts w:eastAsia="Century Gothic" w:cs="Century Gothic"/>
          <w:color w:val="244061"/>
          <w:szCs w:val="20"/>
        </w:rPr>
        <w:t xml:space="preserve"> </w:t>
      </w:r>
      <w:r>
        <w:rPr>
          <w:rFonts w:eastAsia="Century Gothic" w:cs="Century Gothic"/>
          <w:color w:val="244061"/>
          <w:szCs w:val="20"/>
        </w:rPr>
        <w:t xml:space="preserve">correspondiente a la Seguridad Social, </w:t>
      </w:r>
      <w:r>
        <w:rPr>
          <w:rFonts w:eastAsia="Century Gothic" w:cs="Century Gothic"/>
          <w:b/>
          <w:bCs/>
          <w:color w:val="244061"/>
          <w:szCs w:val="20"/>
          <w:u w:val="single"/>
        </w:rPr>
        <w:t>al menos tres años desde la fecha de inicio del contrato, transformación o incorporación bonificados.</w:t>
      </w:r>
      <w:r>
        <w:rPr>
          <w:rFonts w:eastAsia="Century Gothic" w:cs="Century Gothic"/>
          <w:color w:val="244061"/>
          <w:szCs w:val="20"/>
        </w:rPr>
        <w:t xml:space="preserve"> (artículo 9 RD-Ley 1/2023).</w:t>
      </w:r>
    </w:p>
    <w:p w14:paraId="6B5E5010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  <w:r>
        <w:rPr>
          <w:rFonts w:eastAsia="Century Gothic" w:cs="Century Gothic"/>
          <w:b/>
          <w:bCs/>
          <w:color w:val="244061"/>
          <w:szCs w:val="20"/>
        </w:rPr>
        <w:t xml:space="preserve">Los nuevos incentivos e instrumentos de apoyo al empleo entrarán en vigor </w:t>
      </w:r>
      <w:r w:rsidRPr="00550F29">
        <w:rPr>
          <w:rFonts w:eastAsia="Century Gothic" w:cs="Century Gothic"/>
          <w:b/>
          <w:bCs/>
          <w:color w:val="244061"/>
          <w:szCs w:val="20"/>
          <w:u w:val="single"/>
        </w:rPr>
        <w:t>el 1 de septiembre de 2023</w:t>
      </w:r>
      <w:r>
        <w:rPr>
          <w:rFonts w:eastAsia="Century Gothic" w:cs="Century Gothic"/>
          <w:b/>
          <w:bCs/>
          <w:color w:val="244061"/>
          <w:szCs w:val="20"/>
          <w:u w:val="single"/>
        </w:rPr>
        <w:t>, salvo las excepciones establecidas en la disposición final 13ª del RD-Ley 1/2023</w:t>
      </w:r>
      <w:r>
        <w:rPr>
          <w:rFonts w:eastAsia="Century Gothic" w:cs="Century Gothic"/>
          <w:b/>
          <w:bCs/>
          <w:color w:val="244061"/>
          <w:szCs w:val="20"/>
        </w:rPr>
        <w:t>.</w:t>
      </w:r>
      <w:r>
        <w:rPr>
          <w:rFonts w:eastAsia="Century Gothic" w:cs="Century Gothic"/>
          <w:color w:val="244061"/>
          <w:szCs w:val="20"/>
        </w:rPr>
        <w:t xml:space="preserve"> Dichos incentivos se dirigen en los contratos indefinidos celebrados con personas de atención prioritaria, así como la transformación de determinados contratos temporales en indefinidos. </w:t>
      </w:r>
    </w:p>
    <w:p w14:paraId="1C325C3E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  <w:r>
        <w:rPr>
          <w:rFonts w:eastAsia="Century Gothic" w:cs="Century Gothic"/>
          <w:color w:val="244061"/>
          <w:szCs w:val="20"/>
        </w:rPr>
        <w:t>A modo de ejemplo, se pueden destacar los siguientes incentivos:</w:t>
      </w:r>
    </w:p>
    <w:p w14:paraId="530975B0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</w:p>
    <w:p w14:paraId="2CF4BF80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Contratación de personas en situación de exclusión social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>. Se aumenta hasta 128€/mes, la contratación indefinida de personas en situación de exclusión social, igualándose a la contratación indefinida de otros colectivos vulnerables.</w:t>
      </w:r>
    </w:p>
    <w:p w14:paraId="44634DD1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Contratación de personas desempleadas de larga duración</w:t>
      </w:r>
      <w:r w:rsidRPr="006F7BBA">
        <w:rPr>
          <w:rFonts w:ascii="Century Gothic" w:eastAsia="Century Gothic" w:hAnsi="Century Gothic" w:cs="Century Gothic"/>
          <w:color w:val="244061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 Cuando la persona contratada es mujer, la bonificación será de 128€/mes, en lugar de 110€/mes. Esta mayor bonificación se extiende a las personas mayores de 45 años. </w:t>
      </w:r>
    </w:p>
    <w:p w14:paraId="30AD2D3C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Contrato de formación para la alternancia</w:t>
      </w:r>
      <w:r w:rsidRPr="00E71913">
        <w:rPr>
          <w:rFonts w:ascii="Century Gothic" w:eastAsia="Century Gothic" w:hAnsi="Century Gothic" w:cs="Century Gothic"/>
          <w:color w:val="244061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 Se establece unas cuantías de bonificación, en lugar de porcentajes, equivalentes a las que resultarían de aplicar el 75% a las cuotas empresariales únicas y el 100% en función del tamaño de la empresa.</w:t>
      </w:r>
    </w:p>
    <w:p w14:paraId="7EAD1642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Transformación de los contratos formativos en indefinidos</w:t>
      </w:r>
      <w:r w:rsidRPr="00E71913">
        <w:rPr>
          <w:rFonts w:ascii="Century Gothic" w:eastAsia="Century Gothic" w:hAnsi="Century Gothic" w:cs="Century Gothic"/>
          <w:color w:val="244061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 Se pueden beneficiar empresas de menos de 50 trabajadores en alta, así como empresas de más de 50 trabajadores en alta. Se incrementa la bonificación en un 200%. </w:t>
      </w:r>
    </w:p>
    <w:p w14:paraId="513BDC69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Contratación indefinida de personas con capacidad intelectual límite</w:t>
      </w:r>
      <w:r w:rsidRPr="00E71913">
        <w:rPr>
          <w:rFonts w:ascii="Century Gothic" w:eastAsia="Century Gothic" w:hAnsi="Century Gothic" w:cs="Century Gothic"/>
          <w:color w:val="244061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 Se establece una bonificación de 128€/mes, durante cuatro años, en el caso de contratar una persona con capacidad intelectual límite. </w:t>
      </w:r>
    </w:p>
    <w:p w14:paraId="00837A7F" w14:textId="77777777" w:rsid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Contratación de mujeres víctimas de violencia de género, de violencias sexuales y de trata de seres humanos</w:t>
      </w:r>
      <w:r w:rsidRPr="00E71913">
        <w:rPr>
          <w:rFonts w:ascii="Century Gothic" w:eastAsia="Century Gothic" w:hAnsi="Century Gothic" w:cs="Century Gothic"/>
          <w:color w:val="244061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 Se establece una bonificación de 128€/mes, durante cuatro 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lastRenderedPageBreak/>
        <w:t xml:space="preserve">años, en el caso de contratar a una mujer que tenga acreditada la condición de víctima de violencia de género, de violencias sexuales o de trata de seres humanos. </w:t>
      </w:r>
    </w:p>
    <w:p w14:paraId="4EFEFF27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entury Gothic" w:cs="Century Gothic"/>
          <w:color w:val="244061"/>
          <w:szCs w:val="20"/>
        </w:rPr>
      </w:pPr>
    </w:p>
    <w:p w14:paraId="278F4AAB" w14:textId="77777777" w:rsidR="00930DA3" w:rsidRPr="00612E68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  <w:u w:val="single"/>
        </w:rPr>
      </w:pPr>
      <w:r>
        <w:rPr>
          <w:rFonts w:ascii="Century Gothic" w:eastAsia="MS Mincho" w:hAnsi="Century Gothic" w:cs="Times New Roman"/>
          <w:b/>
          <w:bCs/>
          <w:color w:val="405364"/>
          <w:sz w:val="20"/>
          <w:u w:val="single"/>
        </w:rPr>
        <w:t>Exclusiones en los incentivos a la contratación previstos en el RD-Ley 1/2023</w:t>
      </w:r>
    </w:p>
    <w:p w14:paraId="3F305CB6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  <w:u w:val="single"/>
        </w:rPr>
      </w:pPr>
    </w:p>
    <w:p w14:paraId="3D617CBF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>Con independencia de la forma que adopten, los incentivos a la contratación, no se aplicarán en los siguientes supuestos:</w:t>
      </w:r>
    </w:p>
    <w:p w14:paraId="5FFB81ED" w14:textId="77777777" w:rsidR="00930DA3" w:rsidRPr="000E12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 w:rsidRPr="000E12A3"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Relaciones laborales de carácter especial del artículo 2 del ET</w:t>
      </w:r>
      <w:r w:rsidRPr="000E12A3">
        <w:rPr>
          <w:rFonts w:ascii="Century Gothic" w:eastAsia="Century Gothic" w:hAnsi="Century Gothic" w:cs="Century Gothic"/>
          <w:color w:val="244061"/>
          <w:sz w:val="20"/>
          <w:szCs w:val="20"/>
        </w:rPr>
        <w:t>, con la excepción de la relación laboral de personas trabajadoras con discapacidad en centros especiales de empleo y la del servicio del hogar familiar.</w:t>
      </w:r>
    </w:p>
    <w:p w14:paraId="4EB4596F" w14:textId="77777777" w:rsidR="00930DA3" w:rsidRPr="000E12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</w:rPr>
      </w:pPr>
      <w:r w:rsidRPr="000E12A3"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Contrataciones que afecten al cónyuge, ascendientes, descendientes y demás parientes por consanguinidad o afinidad</w:t>
      </w:r>
      <w:r w:rsidRPr="000E12A3">
        <w:rPr>
          <w:rFonts w:ascii="Century Gothic" w:eastAsia="Century Gothic" w:hAnsi="Century Gothic" w:cs="Century Gothic"/>
          <w:color w:val="244061"/>
          <w:sz w:val="20"/>
          <w:szCs w:val="20"/>
        </w:rPr>
        <w:t>, hasta el segundo grado inclusive, del empresario o de quienes tengan el control empresarial.</w:t>
      </w:r>
    </w:p>
    <w:p w14:paraId="77D7C638" w14:textId="0D055207" w:rsidR="00930DA3" w:rsidRPr="00930DA3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</w:pPr>
      <w:r w:rsidRPr="000E12A3"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Contrataciones realizadas con per</w:t>
      </w:r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 xml:space="preserve">sonas trabajadoras que en los doce meses anteriores 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>a la fecha de alta de la persona trabajadora en el correspondiente régimen de la Seguridad Social hubiesen prestado servicios en la misma empresa o entidad mediante un contrato por tiempo indefinido, o en los últimos seis meses mediante un contrato de duración determinada o un contrato formativo, cualquiera que sea su modalidad y la duración de su jornada.</w:t>
      </w:r>
    </w:p>
    <w:p w14:paraId="4CD983C8" w14:textId="77777777" w:rsidR="00930DA3" w:rsidRPr="00C21578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</w:pPr>
      <w:bookmarkStart w:id="3" w:name="_Hlk124877375"/>
      <w:r>
        <w:rPr>
          <w:rFonts w:ascii="Century Gothic" w:eastAsia="Century Gothic" w:hAnsi="Century Gothic" w:cs="Century Gothic"/>
          <w:b/>
          <w:bCs/>
          <w:color w:val="244061"/>
          <w:sz w:val="20"/>
          <w:szCs w:val="20"/>
        </w:rPr>
        <w:t>Personas trabajadoras que hayan causado baja en el correspondiente régimen de la Seguridad Social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 con </w:t>
      </w:r>
      <w:bookmarkEnd w:id="3"/>
      <w:r>
        <w:rPr>
          <w:rFonts w:ascii="Century Gothic" w:eastAsia="Century Gothic" w:hAnsi="Century Gothic" w:cs="Century Gothic"/>
          <w:color w:val="244061"/>
          <w:sz w:val="20"/>
          <w:szCs w:val="20"/>
        </w:rPr>
        <w:t>un contrato de trabajo indefinido para otro empleador en un plazo de tres meses previos a la fecha de alta en el correspondiente régimen de la Seguridad Social con el contrato incentivado.</w:t>
      </w:r>
    </w:p>
    <w:p w14:paraId="4FA17D93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color w:val="244061"/>
          <w:szCs w:val="20"/>
        </w:rPr>
      </w:pPr>
    </w:p>
    <w:p w14:paraId="015B5C27" w14:textId="77777777" w:rsidR="00930DA3" w:rsidRPr="00C21578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b/>
          <w:bCs/>
          <w:color w:val="244061"/>
          <w:szCs w:val="20"/>
          <w:u w:val="single"/>
        </w:rPr>
      </w:pPr>
      <w:r>
        <w:rPr>
          <w:rFonts w:eastAsia="Century Gothic" w:cs="Century Gothic"/>
          <w:color w:val="244061"/>
          <w:szCs w:val="20"/>
        </w:rPr>
        <w:t xml:space="preserve">Asimismo, es importante destacar que los empleadores que hayan extinguido o extingan por despido reconocido o declarado improcedente o por despido colectivo </w:t>
      </w:r>
      <w:r>
        <w:rPr>
          <w:rFonts w:eastAsia="Century Gothic" w:cs="Century Gothic"/>
          <w:b/>
          <w:bCs/>
          <w:color w:val="244061"/>
          <w:szCs w:val="20"/>
        </w:rPr>
        <w:t xml:space="preserve">contratos incentivados </w:t>
      </w:r>
      <w:r>
        <w:rPr>
          <w:rFonts w:eastAsia="Century Gothic" w:cs="Century Gothic"/>
          <w:b/>
          <w:bCs/>
          <w:color w:val="244061"/>
          <w:szCs w:val="20"/>
          <w:u w:val="single"/>
        </w:rPr>
        <w:t>quedarán excluidos por un periodo de doce meses de los incentivos a la contratación.</w:t>
      </w:r>
    </w:p>
    <w:p w14:paraId="28EAFF4A" w14:textId="77777777" w:rsidR="00930DA3" w:rsidRPr="00C21578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</w:rPr>
      </w:pPr>
      <w:r>
        <w:rPr>
          <w:rFonts w:ascii="Century Gothic" w:eastAsia="MS Mincho" w:hAnsi="Century Gothic" w:cs="Times New Roman"/>
          <w:b/>
          <w:bCs/>
          <w:color w:val="405364"/>
          <w:sz w:val="20"/>
          <w:u w:val="single"/>
        </w:rPr>
        <w:t>Bonificaciones de los Expedientes de Regulación Especial de Empleo (ERTES)</w:t>
      </w:r>
    </w:p>
    <w:p w14:paraId="5A50796C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</w:p>
    <w:p w14:paraId="5C4F0AC6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>Tras la entrada en vigor del RD-Ley 1/2023, se han modificado los porcentajes de bonificaciones para los ERTES, quedando los mismos de la siguiente manera:</w:t>
      </w:r>
    </w:p>
    <w:p w14:paraId="5F5D2AB0" w14:textId="77777777" w:rsidR="00930DA3" w:rsidRPr="00C21578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El 20% de los ERTES por causas económicas, técnicas, organizativas o de producción. </w:t>
      </w:r>
    </w:p>
    <w:p w14:paraId="143B9D33" w14:textId="77777777" w:rsidR="00930DA3" w:rsidRPr="000637F6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El 90% de los ERTES por causa de fuerza mayor temporal.</w:t>
      </w:r>
    </w:p>
    <w:p w14:paraId="4E0A5949" w14:textId="77777777" w:rsidR="00930DA3" w:rsidRPr="000637F6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>El 90% de los ERTES por causa de fuerza mayor temporal determinada por los impedimentos o limitaciones en la actividad normalizada de la empresa.</w:t>
      </w:r>
    </w:p>
    <w:p w14:paraId="7E10225A" w14:textId="77777777" w:rsidR="00930DA3" w:rsidRPr="000637F6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En los ERTES con una modalidad cíclica: a) 60% desde la fecha en que se produzca la activación, hasta el último día del cuarto mes posterior a dicha fecha de activación, b) el 30% durante los cuatro meses inmediatamente siguientes a la terminación del </w:t>
      </w:r>
      <w:r>
        <w:rPr>
          <w:rFonts w:ascii="Century Gothic" w:eastAsia="Century Gothic" w:hAnsi="Century Gothic" w:cs="Century Gothic"/>
          <w:color w:val="244061"/>
          <w:sz w:val="20"/>
          <w:szCs w:val="20"/>
        </w:rPr>
        <w:lastRenderedPageBreak/>
        <w:t>plazo del apartado a) y c) el 20%, durante los cuatro meses siguientes a la terminación del plazo del apartado b).</w:t>
      </w:r>
    </w:p>
    <w:p w14:paraId="4C02D8EC" w14:textId="77777777" w:rsidR="00930DA3" w:rsidRPr="000637F6" w:rsidRDefault="00930DA3" w:rsidP="00930DA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44061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color w:val="244061"/>
          <w:sz w:val="20"/>
          <w:szCs w:val="20"/>
        </w:rPr>
        <w:t xml:space="preserve">El 40% de los ERTES, cuando se acojan a una modalidad sectorial. </w:t>
      </w:r>
    </w:p>
    <w:p w14:paraId="2448A3E3" w14:textId="77777777" w:rsidR="00930DA3" w:rsidRPr="000637F6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color w:val="244061"/>
          <w:szCs w:val="20"/>
          <w:u w:val="single"/>
        </w:rPr>
      </w:pPr>
    </w:p>
    <w:p w14:paraId="11C40041" w14:textId="77777777" w:rsidR="00930DA3" w:rsidRPr="00FA5B53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  <w:u w:val="single"/>
        </w:rPr>
      </w:pPr>
      <w:r w:rsidRPr="00FA5B53">
        <w:rPr>
          <w:rFonts w:ascii="Century Gothic" w:eastAsia="MS Mincho" w:hAnsi="Century Gothic" w:cs="Times New Roman"/>
          <w:b/>
          <w:bCs/>
          <w:color w:val="405364"/>
          <w:sz w:val="20"/>
          <w:u w:val="single"/>
        </w:rPr>
        <w:t>Cotización de artistas autónomos con bajos ingresos</w:t>
      </w:r>
    </w:p>
    <w:p w14:paraId="274A675A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6C6BA1D6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>Se deberá poder acreditar unos ingresos anuales iguales o inferiores a 3.000 euros, por lo que la base de cotización deberá ser de 526,14€/mes. La base de cotización se actualizará anualmente.</w:t>
      </w:r>
    </w:p>
    <w:p w14:paraId="782C8D25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602FAEC3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>Con todo ello, el autónomo que acredite estos ingresos deberá pagar 161€/mes. El pago de las cuotas puede ser trimestral, en vez de mensual si lo solicita el interesado. Estas cotizaciones ayudan a compensar el esfuerzo que hace la Seguridad Social por hacer compatible toda la pensión con los ingresos de su trabajo.</w:t>
      </w:r>
    </w:p>
    <w:p w14:paraId="20506574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4750DB39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03F6E982" w14:textId="77777777" w:rsidR="00930DA3" w:rsidRPr="00FA5B53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  <w:u w:val="single"/>
        </w:rPr>
      </w:pPr>
      <w:r w:rsidRPr="00FA5B53">
        <w:rPr>
          <w:rFonts w:ascii="Century Gothic" w:eastAsia="MS Mincho" w:hAnsi="Century Gothic" w:cs="Times New Roman"/>
          <w:b/>
          <w:bCs/>
          <w:color w:val="405364"/>
          <w:sz w:val="20"/>
          <w:u w:val="single"/>
        </w:rPr>
        <w:t>Compatibilidad entre la pensión de jubilación y la realización de actividades artísticas</w:t>
      </w:r>
    </w:p>
    <w:p w14:paraId="3268E4DD" w14:textId="77777777" w:rsidR="00930DA3" w:rsidRPr="00A329EF" w:rsidRDefault="00930DA3" w:rsidP="00930D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</w:rPr>
      </w:pPr>
    </w:p>
    <w:p w14:paraId="6AB76229" w14:textId="7AACD080" w:rsidR="00930DA3" w:rsidRPr="00987244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 xml:space="preserve">Otra de las novedades más relevantes del </w:t>
      </w:r>
      <w:r w:rsidRPr="00987244">
        <w:rPr>
          <w:rFonts w:eastAsia="MS Mincho" w:cs="Times New Roman"/>
          <w:color w:val="405364"/>
        </w:rPr>
        <w:t>RD-Ley 1/2023</w:t>
      </w:r>
      <w:r>
        <w:rPr>
          <w:rFonts w:eastAsia="MS Mincho" w:cs="Times New Roman"/>
          <w:color w:val="405364"/>
        </w:rPr>
        <w:t xml:space="preserve"> es la</w:t>
      </w:r>
      <w:r w:rsidRPr="00987244">
        <w:t xml:space="preserve"> </w:t>
      </w:r>
      <w:r w:rsidRPr="00987244">
        <w:rPr>
          <w:rFonts w:eastAsia="MS Mincho" w:cs="Times New Roman"/>
          <w:color w:val="405364"/>
        </w:rPr>
        <w:t xml:space="preserve">introducción de un nuevo </w:t>
      </w:r>
      <w:r w:rsidRPr="00AA6B00">
        <w:rPr>
          <w:rFonts w:eastAsia="MS Mincho" w:cs="Times New Roman"/>
          <w:color w:val="405364"/>
        </w:rPr>
        <w:t xml:space="preserve">artículo 249 </w:t>
      </w:r>
      <w:proofErr w:type="spellStart"/>
      <w:r w:rsidRPr="00AA6B00">
        <w:rPr>
          <w:rFonts w:eastAsia="MS Mincho" w:cs="Times New Roman"/>
          <w:color w:val="405364"/>
        </w:rPr>
        <w:t>quater</w:t>
      </w:r>
      <w:proofErr w:type="spellEnd"/>
      <w:r w:rsidRPr="00AA6B00">
        <w:rPr>
          <w:rFonts w:eastAsia="MS Mincho" w:cs="Times New Roman"/>
          <w:color w:val="405364"/>
        </w:rPr>
        <w:t xml:space="preserve"> en la Ley General de Seguridad Social y la modificación del artículo 33 del texto refundido de Ley de Clases Pasivas del Estado.</w:t>
      </w:r>
    </w:p>
    <w:p w14:paraId="3CCB6ABF" w14:textId="05CF3EE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Con estos dos cambios, se modifica el régimen de compatibilidad entre la percepción de pensiones de jubilación y la realización de actividades artísticas o autorales</w:t>
      </w:r>
      <w:r>
        <w:rPr>
          <w:rFonts w:eastAsia="MS Mincho" w:cs="Times New Roman"/>
          <w:color w:val="405364"/>
        </w:rPr>
        <w:t xml:space="preserve"> </w:t>
      </w:r>
      <w:r w:rsidRPr="00930DA3">
        <w:rPr>
          <w:rFonts w:eastAsia="MS Mincho" w:cs="Times New Roman"/>
          <w:color w:val="405364"/>
        </w:rPr>
        <w:t xml:space="preserve">remuneradas, ya sea en régimen de trabajo por cuenta ajena o propia, y tanto de actividades artísticas como actividades de carácter autoral. </w:t>
      </w:r>
    </w:p>
    <w:p w14:paraId="1E5CE588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Así, como norma general se declara la compatibilidad de la percepción del 100% de la pensión de jubilación contributiva de carácter forzoso con la realización de dichas actividades, si bien, en el caso de las jubilaciones de carácter voluntario, sus beneficiarios sólo podrán acceder a esta compatibilidad a partir del momento en que cumplan la edad de jubilación forzosa.</w:t>
      </w:r>
    </w:p>
    <w:p w14:paraId="289B84B6" w14:textId="704FEC4B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Como se ha adelantado, la norma establece que dicha compatibilidad será aplicable (i) tanto a las personas que desarrollen una actividad artística como (</w:t>
      </w:r>
      <w:proofErr w:type="spellStart"/>
      <w:r w:rsidRPr="00930DA3">
        <w:rPr>
          <w:rFonts w:eastAsia="MS Mincho" w:cs="Times New Roman"/>
          <w:color w:val="405364"/>
        </w:rPr>
        <w:t>ii</w:t>
      </w:r>
      <w:proofErr w:type="spellEnd"/>
      <w:r w:rsidRPr="00930DA3">
        <w:rPr>
          <w:rFonts w:eastAsia="MS Mincho" w:cs="Times New Roman"/>
          <w:color w:val="405364"/>
        </w:rPr>
        <w:t xml:space="preserve">) a los autores de obras literarias, artísticas o científicas. </w:t>
      </w:r>
    </w:p>
    <w:p w14:paraId="468100E6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</w:p>
    <w:p w14:paraId="18A70C5C" w14:textId="2788401C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- Actividades artísticas:</w:t>
      </w:r>
    </w:p>
    <w:p w14:paraId="00DAE2CB" w14:textId="311030D0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Aplicable a las personas naturales que realicen actividades artísticas en los siguientes ámbitos:</w:t>
      </w:r>
    </w:p>
    <w:p w14:paraId="683B4475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 xml:space="preserve">dramático </w:t>
      </w:r>
    </w:p>
    <w:p w14:paraId="44BE3DFB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lastRenderedPageBreak/>
        <w:t>(actuaciones teatrales);</w:t>
      </w:r>
    </w:p>
    <w:p w14:paraId="515CA6B1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>doblaje;</w:t>
      </w:r>
    </w:p>
    <w:p w14:paraId="6A73AC57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 xml:space="preserve">musicales; </w:t>
      </w:r>
      <w:r w:rsidRPr="00930DA3">
        <w:rPr>
          <w:rFonts w:eastAsia="MS Mincho" w:cs="Times New Roman"/>
          <w:color w:val="405364"/>
        </w:rPr>
        <w:tab/>
      </w:r>
    </w:p>
    <w:p w14:paraId="72A76FDA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>circo, marionetas y magia;</w:t>
      </w:r>
    </w:p>
    <w:p w14:paraId="1C7AEDC4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>especialistas;</w:t>
      </w:r>
    </w:p>
    <w:p w14:paraId="33003D83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>guionistas;</w:t>
      </w:r>
    </w:p>
    <w:p w14:paraId="2B44A51B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 xml:space="preserve">canto, coreografía y baile; </w:t>
      </w:r>
    </w:p>
    <w:p w14:paraId="037EC079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 xml:space="preserve">variedades; </w:t>
      </w:r>
    </w:p>
    <w:p w14:paraId="30AA9642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 xml:space="preserve">dirección artística; </w:t>
      </w:r>
    </w:p>
    <w:p w14:paraId="1B533393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 xml:space="preserve">orquestal (lo que incluye al director, los ejecutantes y, en su caso, los coristas); </w:t>
      </w:r>
    </w:p>
    <w:p w14:paraId="61EE60D2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>figuración;</w:t>
      </w:r>
      <w:r w:rsidRPr="00930DA3">
        <w:rPr>
          <w:rFonts w:eastAsia="MS Mincho" w:cs="Times New Roman"/>
          <w:color w:val="405364"/>
        </w:rPr>
        <w:tab/>
      </w:r>
    </w:p>
    <w:p w14:paraId="11055100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 xml:space="preserve">las desarrolladas por aquellas personas reconocidas como artista, intérprete o ejecutante en el marco de la Ley de Propiedad Intelectual o del Real Decreto 1435/1985. </w:t>
      </w:r>
    </w:p>
    <w:p w14:paraId="019EA13C" w14:textId="678BBEB8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 w:rsidRPr="00930DA3">
        <w:rPr>
          <w:rFonts w:eastAsia="MS Mincho" w:cs="Times New Roman"/>
          <w:color w:val="405364"/>
        </w:rPr>
        <w:t>•</w:t>
      </w:r>
      <w:r w:rsidRPr="00930DA3">
        <w:rPr>
          <w:rFonts w:eastAsia="MS Mincho" w:cs="Times New Roman"/>
          <w:color w:val="405364"/>
        </w:rPr>
        <w:tab/>
        <w:t>actividades técnicas o auxiliares necesarias para el desarrollo de dicha actividad, tales como la preparación, montaje y asistencia técnica, sastrería, peluquería y maquillaje, etc. (artículo 1.2. del Real Decreto 1435/1985).</w:t>
      </w:r>
    </w:p>
    <w:p w14:paraId="77207813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</w:p>
    <w:p w14:paraId="501074D0" w14:textId="523CCD59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 xml:space="preserve">La nueva normativa incluye también dentro de esta categoría </w:t>
      </w:r>
      <w:r w:rsidRPr="00987244">
        <w:rPr>
          <w:rFonts w:eastAsia="MS Mincho" w:cs="Times New Roman"/>
          <w:color w:val="405364"/>
        </w:rPr>
        <w:t xml:space="preserve">al </w:t>
      </w:r>
      <w:r w:rsidRPr="00A6490C">
        <w:rPr>
          <w:rFonts w:eastAsia="MS Mincho" w:cs="Times New Roman"/>
          <w:b/>
          <w:bCs/>
          <w:color w:val="405364"/>
        </w:rPr>
        <w:t>ámbito “del cine”</w:t>
      </w:r>
      <w:r w:rsidRPr="00987244">
        <w:rPr>
          <w:rFonts w:eastAsia="MS Mincho" w:cs="Times New Roman"/>
          <w:color w:val="405364"/>
        </w:rPr>
        <w:t xml:space="preserve">, por lo que </w:t>
      </w:r>
      <w:r>
        <w:rPr>
          <w:rFonts w:eastAsia="MS Mincho" w:cs="Times New Roman"/>
          <w:color w:val="405364"/>
        </w:rPr>
        <w:t xml:space="preserve">deja la puerta abierta </w:t>
      </w:r>
      <w:r w:rsidRPr="00987244">
        <w:rPr>
          <w:rFonts w:eastAsia="MS Mincho" w:cs="Times New Roman"/>
          <w:color w:val="405364"/>
        </w:rPr>
        <w:t xml:space="preserve">a </w:t>
      </w:r>
      <w:r>
        <w:rPr>
          <w:rFonts w:eastAsia="MS Mincho" w:cs="Times New Roman"/>
          <w:color w:val="405364"/>
        </w:rPr>
        <w:t>que queden</w:t>
      </w:r>
      <w:r w:rsidRPr="00987244">
        <w:rPr>
          <w:rFonts w:eastAsia="MS Mincho" w:cs="Times New Roman"/>
          <w:color w:val="405364"/>
        </w:rPr>
        <w:t xml:space="preserve"> dentro de su aplicación </w:t>
      </w:r>
      <w:r w:rsidRPr="00A6490C">
        <w:rPr>
          <w:rFonts w:eastAsia="MS Mincho" w:cs="Times New Roman"/>
          <w:b/>
          <w:bCs/>
          <w:color w:val="405364"/>
        </w:rPr>
        <w:t>otros profesionales</w:t>
      </w:r>
      <w:r w:rsidRPr="00987244">
        <w:rPr>
          <w:rFonts w:eastAsia="MS Mincho" w:cs="Times New Roman"/>
          <w:color w:val="405364"/>
        </w:rPr>
        <w:t xml:space="preserve"> no mencionados de manera expresa por la norma, como los </w:t>
      </w:r>
      <w:r w:rsidRPr="00A6490C">
        <w:rPr>
          <w:rFonts w:eastAsia="MS Mincho" w:cs="Times New Roman"/>
          <w:b/>
          <w:bCs/>
          <w:color w:val="405364"/>
        </w:rPr>
        <w:t>productores ejecutivos</w:t>
      </w:r>
      <w:r w:rsidRPr="00987244">
        <w:rPr>
          <w:rFonts w:eastAsia="MS Mincho" w:cs="Times New Roman"/>
          <w:color w:val="405364"/>
        </w:rPr>
        <w:t xml:space="preserve"> y figuras asimiladas. </w:t>
      </w:r>
    </w:p>
    <w:p w14:paraId="225E4221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151BBB6A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 w:rsidRPr="00987244">
        <w:rPr>
          <w:rFonts w:eastAsia="MS Mincho" w:cs="Times New Roman"/>
          <w:color w:val="405364"/>
        </w:rPr>
        <w:t xml:space="preserve">Sin embargo, quedarían, a priori, fuera del ámbito de aplicación de esta norma los </w:t>
      </w:r>
      <w:r w:rsidRPr="00A6490C">
        <w:rPr>
          <w:rFonts w:eastAsia="MS Mincho" w:cs="Times New Roman"/>
          <w:b/>
          <w:bCs/>
          <w:color w:val="405364"/>
        </w:rPr>
        <w:t>productores</w:t>
      </w:r>
      <w:r w:rsidRPr="00987244">
        <w:rPr>
          <w:rFonts w:eastAsia="MS Mincho" w:cs="Times New Roman"/>
          <w:color w:val="405364"/>
        </w:rPr>
        <w:t xml:space="preserve"> personas naturales, por su carácter de empresarios. A estos efectos se entiende por “productor”, de acuerdo con el artículo 120.2 de la Ley de Propiedad Intelectual, “</w:t>
      </w:r>
      <w:r w:rsidRPr="004839DF">
        <w:rPr>
          <w:rFonts w:eastAsia="MS Mincho" w:cs="Times New Roman"/>
          <w:i/>
          <w:iCs/>
          <w:color w:val="405364"/>
        </w:rPr>
        <w:t xml:space="preserve">la persona natural o jurídica que </w:t>
      </w:r>
      <w:r w:rsidRPr="004839DF">
        <w:rPr>
          <w:rFonts w:eastAsia="MS Mincho" w:cs="Times New Roman"/>
          <w:b/>
          <w:bCs/>
          <w:i/>
          <w:iCs/>
          <w:color w:val="405364"/>
        </w:rPr>
        <w:t>tenga la</w:t>
      </w:r>
      <w:r w:rsidRPr="004839DF">
        <w:rPr>
          <w:rFonts w:eastAsia="MS Mincho" w:cs="Times New Roman"/>
          <w:i/>
          <w:iCs/>
          <w:color w:val="405364"/>
        </w:rPr>
        <w:t xml:space="preserve"> </w:t>
      </w:r>
      <w:r w:rsidRPr="004839DF">
        <w:rPr>
          <w:rFonts w:eastAsia="MS Mincho" w:cs="Times New Roman"/>
          <w:b/>
          <w:bCs/>
          <w:i/>
          <w:iCs/>
          <w:color w:val="405364"/>
        </w:rPr>
        <w:t xml:space="preserve">iniciativa y asuma la responsabilidad </w:t>
      </w:r>
      <w:r w:rsidRPr="004839DF">
        <w:rPr>
          <w:rFonts w:eastAsia="MS Mincho" w:cs="Times New Roman"/>
          <w:i/>
          <w:iCs/>
          <w:color w:val="405364"/>
        </w:rPr>
        <w:t>de dicha grabación audiovisual</w:t>
      </w:r>
      <w:r w:rsidRPr="00987244">
        <w:rPr>
          <w:rFonts w:eastAsia="MS Mincho" w:cs="Times New Roman"/>
          <w:color w:val="405364"/>
        </w:rPr>
        <w:t xml:space="preserve">”. </w:t>
      </w:r>
    </w:p>
    <w:p w14:paraId="63F199A9" w14:textId="77777777" w:rsidR="00930DA3" w:rsidRPr="00987244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46A0E586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eastAsia="MS Mincho" w:cs="Times New Roman"/>
          <w:b/>
          <w:bCs/>
          <w:color w:val="405364"/>
        </w:rPr>
      </w:pPr>
      <w:r w:rsidRPr="00A6490C">
        <w:rPr>
          <w:rFonts w:eastAsia="MS Mincho" w:cs="Times New Roman"/>
          <w:b/>
          <w:bCs/>
          <w:color w:val="405364"/>
        </w:rPr>
        <w:t>- Actividades autorales</w:t>
      </w:r>
      <w:r>
        <w:rPr>
          <w:rFonts w:eastAsia="MS Mincho" w:cs="Times New Roman"/>
          <w:b/>
          <w:bCs/>
          <w:color w:val="405364"/>
        </w:rPr>
        <w:t>:</w:t>
      </w:r>
    </w:p>
    <w:p w14:paraId="25922C8F" w14:textId="77777777" w:rsidR="00930DA3" w:rsidRPr="00A6490C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eastAsia="MS Mincho" w:cs="Times New Roman"/>
          <w:b/>
          <w:bCs/>
          <w:color w:val="405364"/>
        </w:rPr>
      </w:pPr>
    </w:p>
    <w:p w14:paraId="702B50FD" w14:textId="51F1546C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 w:rsidRPr="00987244">
        <w:rPr>
          <w:rFonts w:eastAsia="MS Mincho" w:cs="Times New Roman"/>
          <w:color w:val="405364"/>
        </w:rPr>
        <w:t xml:space="preserve">Al determinar qué debe entenderse por actividades autorales de </w:t>
      </w:r>
      <w:r w:rsidRPr="00A6490C">
        <w:rPr>
          <w:rFonts w:eastAsia="MS Mincho" w:cs="Times New Roman"/>
          <w:b/>
          <w:bCs/>
          <w:color w:val="405364"/>
        </w:rPr>
        <w:t>obras literarias, artísticas o científicas</w:t>
      </w:r>
      <w:r w:rsidRPr="00987244">
        <w:rPr>
          <w:rFonts w:eastAsia="MS Mincho" w:cs="Times New Roman"/>
          <w:color w:val="405364"/>
        </w:rPr>
        <w:t>, tanto por cuenta propia como ajena, el RD-Ley 1/2023</w:t>
      </w:r>
      <w:r>
        <w:rPr>
          <w:rFonts w:eastAsia="MS Mincho" w:cs="Times New Roman"/>
          <w:color w:val="405364"/>
        </w:rPr>
        <w:t xml:space="preserve"> </w:t>
      </w:r>
      <w:r w:rsidRPr="00987244">
        <w:rPr>
          <w:rFonts w:eastAsia="MS Mincho" w:cs="Times New Roman"/>
          <w:color w:val="405364"/>
        </w:rPr>
        <w:t>remite a la definición contemplada en la Ley de Propiedad Intelectual, con independencia de</w:t>
      </w:r>
      <w:r w:rsidRPr="00930DA3">
        <w:rPr>
          <w:rFonts w:eastAsia="MS Mincho" w:cs="Times New Roman"/>
          <w:color w:val="405364"/>
        </w:rPr>
        <w:t xml:space="preserve"> </w:t>
      </w:r>
      <w:r w:rsidRPr="00987244">
        <w:rPr>
          <w:rFonts w:eastAsia="MS Mincho" w:cs="Times New Roman"/>
          <w:color w:val="405364"/>
        </w:rPr>
        <w:t>si como consecuencia del desarrollo de dicha actividad se perciben o no rendimientos de propiedad intelectual, u otras remuneraciones conexas.</w:t>
      </w:r>
    </w:p>
    <w:p w14:paraId="48CEE701" w14:textId="77777777" w:rsidR="00930DA3" w:rsidRPr="00987244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4480FD2F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b/>
          <w:bCs/>
          <w:color w:val="405364"/>
        </w:rPr>
      </w:pPr>
      <w:r w:rsidRPr="00987244">
        <w:rPr>
          <w:rFonts w:eastAsia="MS Mincho" w:cs="Times New Roman"/>
          <w:color w:val="405364"/>
        </w:rPr>
        <w:t xml:space="preserve">Esto puede suponer una excepcional ampliación del concepto que, muy posiblemente, excede la intención del legislador, ya que </w:t>
      </w:r>
      <w:r>
        <w:rPr>
          <w:rFonts w:eastAsia="MS Mincho" w:cs="Times New Roman"/>
          <w:color w:val="405364"/>
        </w:rPr>
        <w:t xml:space="preserve">se situaría </w:t>
      </w:r>
      <w:r w:rsidRPr="00987244">
        <w:rPr>
          <w:rFonts w:eastAsia="MS Mincho" w:cs="Times New Roman"/>
          <w:color w:val="405364"/>
        </w:rPr>
        <w:t xml:space="preserve">el marco objetivo </w:t>
      </w:r>
      <w:r>
        <w:rPr>
          <w:rFonts w:eastAsia="MS Mincho" w:cs="Times New Roman"/>
          <w:color w:val="405364"/>
        </w:rPr>
        <w:t>en el</w:t>
      </w:r>
      <w:r w:rsidRPr="00987244">
        <w:rPr>
          <w:rFonts w:eastAsia="MS Mincho" w:cs="Times New Roman"/>
          <w:color w:val="405364"/>
        </w:rPr>
        <w:t xml:space="preserve"> artículo 10.1 de la Ley de Propiedad Intelectual, lo que extendería el marco subjetivo a todas las personas allí contempladas tales como </w:t>
      </w:r>
      <w:r w:rsidRPr="00A6490C">
        <w:rPr>
          <w:rFonts w:eastAsia="MS Mincho" w:cs="Times New Roman"/>
          <w:b/>
          <w:bCs/>
          <w:color w:val="405364"/>
        </w:rPr>
        <w:t>los arquitectos,</w:t>
      </w:r>
      <w:r>
        <w:rPr>
          <w:rFonts w:eastAsia="MS Mincho" w:cs="Times New Roman"/>
          <w:b/>
          <w:bCs/>
          <w:color w:val="405364"/>
        </w:rPr>
        <w:t xml:space="preserve"> los</w:t>
      </w:r>
      <w:r w:rsidRPr="00A6490C">
        <w:rPr>
          <w:rFonts w:eastAsia="MS Mincho" w:cs="Times New Roman"/>
          <w:b/>
          <w:bCs/>
          <w:color w:val="405364"/>
        </w:rPr>
        <w:t xml:space="preserve"> ingenieros </w:t>
      </w:r>
      <w:r>
        <w:rPr>
          <w:rFonts w:eastAsia="MS Mincho" w:cs="Times New Roman"/>
          <w:b/>
          <w:bCs/>
          <w:color w:val="405364"/>
        </w:rPr>
        <w:t>o</w:t>
      </w:r>
      <w:r w:rsidRPr="00A6490C">
        <w:rPr>
          <w:rFonts w:eastAsia="MS Mincho" w:cs="Times New Roman"/>
          <w:b/>
          <w:bCs/>
          <w:color w:val="405364"/>
        </w:rPr>
        <w:t xml:space="preserve"> los autores de “</w:t>
      </w:r>
      <w:r w:rsidRPr="00A6490C">
        <w:rPr>
          <w:rFonts w:eastAsia="MS Mincho" w:cs="Times New Roman"/>
          <w:b/>
          <w:bCs/>
          <w:i/>
          <w:iCs/>
          <w:color w:val="405364"/>
        </w:rPr>
        <w:t>los gráficos, mapas y diseños relativos a la topografía, la geografía y, en general, a la ciencia</w:t>
      </w:r>
      <w:r w:rsidRPr="00A6490C">
        <w:rPr>
          <w:rFonts w:eastAsia="MS Mincho" w:cs="Times New Roman"/>
          <w:b/>
          <w:bCs/>
          <w:color w:val="405364"/>
        </w:rPr>
        <w:t>”</w:t>
      </w:r>
      <w:r>
        <w:rPr>
          <w:rFonts w:eastAsia="MS Mincho" w:cs="Times New Roman"/>
          <w:b/>
          <w:bCs/>
          <w:color w:val="405364"/>
        </w:rPr>
        <w:t>.</w:t>
      </w:r>
    </w:p>
    <w:p w14:paraId="237DDC87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b/>
          <w:bCs/>
          <w:color w:val="405364"/>
        </w:rPr>
      </w:pPr>
    </w:p>
    <w:p w14:paraId="2E81E276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eastAsia="MS Mincho" w:cs="Times New Roman"/>
          <w:b/>
          <w:bCs/>
          <w:color w:val="405364"/>
        </w:rPr>
      </w:pPr>
      <w:r w:rsidRPr="00A6490C">
        <w:rPr>
          <w:rFonts w:eastAsia="MS Mincho" w:cs="Times New Roman"/>
          <w:b/>
          <w:bCs/>
          <w:color w:val="405364"/>
        </w:rPr>
        <w:t>- Obligaciones del empresario</w:t>
      </w:r>
      <w:r>
        <w:rPr>
          <w:rFonts w:eastAsia="MS Mincho" w:cs="Times New Roman"/>
          <w:b/>
          <w:bCs/>
          <w:color w:val="405364"/>
        </w:rPr>
        <w:t>:</w:t>
      </w:r>
    </w:p>
    <w:p w14:paraId="47D9A448" w14:textId="77777777" w:rsidR="00930DA3" w:rsidRPr="00A6490C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eastAsia="MS Mincho" w:cs="Times New Roman"/>
          <w:b/>
          <w:bCs/>
          <w:color w:val="405364"/>
        </w:rPr>
      </w:pPr>
    </w:p>
    <w:p w14:paraId="038028B7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 w:rsidRPr="00987244">
        <w:rPr>
          <w:rFonts w:eastAsia="MS Mincho" w:cs="Times New Roman"/>
          <w:color w:val="405364"/>
        </w:rPr>
        <w:t xml:space="preserve">En aquellos casos en los que la realización de dichas prestaciones se lleva a cabo en el marco de una relación laboral por cuenta ajena, el empresario correspondiente deberá </w:t>
      </w:r>
      <w:r w:rsidRPr="00A6490C">
        <w:rPr>
          <w:rFonts w:eastAsia="MS Mincho" w:cs="Times New Roman"/>
          <w:b/>
          <w:bCs/>
          <w:color w:val="405364"/>
        </w:rPr>
        <w:t>solicitar el alta</w:t>
      </w:r>
      <w:r w:rsidRPr="00987244">
        <w:rPr>
          <w:rFonts w:eastAsia="MS Mincho" w:cs="Times New Roman"/>
          <w:color w:val="405364"/>
        </w:rPr>
        <w:t xml:space="preserve"> de trabajadores del régimen general de la Seguridad Social, limitándose la cotización a la </w:t>
      </w:r>
      <w:r w:rsidRPr="00A6490C">
        <w:rPr>
          <w:rFonts w:eastAsia="MS Mincho" w:cs="Times New Roman"/>
          <w:b/>
          <w:bCs/>
          <w:color w:val="405364"/>
        </w:rPr>
        <w:t>contingencias profesionales del régimen aplicable, y la cotización especial de solidaridad</w:t>
      </w:r>
      <w:r w:rsidRPr="00987244">
        <w:rPr>
          <w:rFonts w:eastAsia="MS Mincho" w:cs="Times New Roman"/>
          <w:color w:val="405364"/>
        </w:rPr>
        <w:t>, de 9% sobre la base de cotización por contingencias comunes, que se distribuirá entre el empresario (7%) y el trabajador (2%).</w:t>
      </w:r>
    </w:p>
    <w:p w14:paraId="66A69DB0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20FC6565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eastAsia="MS Mincho" w:cs="Times New Roman"/>
          <w:b/>
          <w:bCs/>
          <w:color w:val="405364"/>
        </w:rPr>
      </w:pPr>
      <w:r w:rsidRPr="00A6490C">
        <w:rPr>
          <w:rFonts w:eastAsia="MS Mincho" w:cs="Times New Roman"/>
          <w:b/>
          <w:bCs/>
          <w:color w:val="405364"/>
        </w:rPr>
        <w:t>- Entrada en vigor</w:t>
      </w:r>
      <w:r>
        <w:rPr>
          <w:rFonts w:eastAsia="MS Mincho" w:cs="Times New Roman"/>
          <w:b/>
          <w:bCs/>
          <w:color w:val="405364"/>
        </w:rPr>
        <w:t>:</w:t>
      </w:r>
    </w:p>
    <w:p w14:paraId="0DCAA238" w14:textId="77777777" w:rsidR="00930DA3" w:rsidRPr="00A6490C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eastAsia="MS Mincho" w:cs="Times New Roman"/>
          <w:b/>
          <w:bCs/>
          <w:color w:val="405364"/>
        </w:rPr>
      </w:pPr>
    </w:p>
    <w:p w14:paraId="31BDFF9C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 w:rsidRPr="00987244">
        <w:rPr>
          <w:rFonts w:eastAsia="MS Mincho" w:cs="Times New Roman"/>
          <w:color w:val="405364"/>
        </w:rPr>
        <w:t xml:space="preserve">De acuerdo con lo previsto en la Disposición final 13ª del RD-Ley 1/2023, esta nueva regulación entrará en vigor el </w:t>
      </w:r>
      <w:r w:rsidRPr="00A6490C">
        <w:rPr>
          <w:rFonts w:eastAsia="MS Mincho" w:cs="Times New Roman"/>
          <w:b/>
          <w:bCs/>
          <w:color w:val="405364"/>
        </w:rPr>
        <w:t>1 de abril de 2023</w:t>
      </w:r>
      <w:r w:rsidRPr="00987244">
        <w:rPr>
          <w:rFonts w:eastAsia="MS Mincho" w:cs="Times New Roman"/>
          <w:color w:val="405364"/>
        </w:rPr>
        <w:t>.</w:t>
      </w:r>
    </w:p>
    <w:p w14:paraId="6103BF2A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67C990A3" w14:textId="77777777" w:rsidR="00930DA3" w:rsidRPr="00FA5B5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  <w:u w:val="single"/>
        </w:rPr>
      </w:pPr>
    </w:p>
    <w:p w14:paraId="3ABEAA03" w14:textId="77777777" w:rsidR="00930DA3" w:rsidRPr="00FA5B53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  <w:u w:val="single"/>
        </w:rPr>
      </w:pPr>
      <w:r w:rsidRPr="00FA5B53">
        <w:rPr>
          <w:rFonts w:ascii="Century Gothic" w:eastAsia="MS Mincho" w:hAnsi="Century Gothic" w:cs="Times New Roman"/>
          <w:b/>
          <w:bCs/>
          <w:color w:val="405364"/>
          <w:sz w:val="20"/>
          <w:u w:val="single"/>
        </w:rPr>
        <w:t>Enfermedades profesionales específicas del sector cultural</w:t>
      </w:r>
    </w:p>
    <w:p w14:paraId="3F8D050A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20072335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 w:rsidRPr="00AA6B00">
        <w:rPr>
          <w:rFonts w:eastAsia="MS Mincho" w:cs="Times New Roman"/>
          <w:color w:val="405364"/>
        </w:rPr>
        <w:t xml:space="preserve">Asimismo, la Disposición adicional 14ª del </w:t>
      </w:r>
      <w:r w:rsidRPr="00987244">
        <w:rPr>
          <w:rFonts w:eastAsia="MS Mincho" w:cs="Times New Roman"/>
          <w:color w:val="405364"/>
        </w:rPr>
        <w:t>RD-Ley 1/2023</w:t>
      </w:r>
      <w:r>
        <w:rPr>
          <w:rFonts w:eastAsia="MS Mincho" w:cs="Times New Roman"/>
          <w:color w:val="405364"/>
        </w:rPr>
        <w:t xml:space="preserve"> </w:t>
      </w:r>
      <w:r w:rsidRPr="00AA6B00">
        <w:rPr>
          <w:rFonts w:eastAsia="MS Mincho" w:cs="Times New Roman"/>
          <w:color w:val="405364"/>
        </w:rPr>
        <w:t>contempla que en el plazo de seis meses desde la entrada en vigor de esta nueva norma, es decir</w:t>
      </w:r>
      <w:r w:rsidRPr="00A6490C">
        <w:rPr>
          <w:rFonts w:eastAsia="MS Mincho" w:cs="Times New Roman"/>
          <w:b/>
          <w:bCs/>
          <w:color w:val="405364"/>
        </w:rPr>
        <w:t>, antes del 12 de julio de 2023</w:t>
      </w:r>
      <w:r w:rsidRPr="00AA6B00">
        <w:rPr>
          <w:rFonts w:eastAsia="MS Mincho" w:cs="Times New Roman"/>
          <w:color w:val="405364"/>
        </w:rPr>
        <w:t xml:space="preserve">, el Gobierno creará una </w:t>
      </w:r>
      <w:r w:rsidRPr="00A6490C">
        <w:rPr>
          <w:rFonts w:eastAsia="MS Mincho" w:cs="Times New Roman"/>
          <w:b/>
          <w:bCs/>
          <w:color w:val="405364"/>
        </w:rPr>
        <w:t>comisión para la evaluación y reconocimiento de aquellas enfermedades profesionales específicas del sector cultural</w:t>
      </w:r>
      <w:r w:rsidRPr="00AA6B00">
        <w:rPr>
          <w:rFonts w:eastAsia="MS Mincho" w:cs="Times New Roman"/>
          <w:color w:val="405364"/>
        </w:rPr>
        <w:t>, integrada por los departamentos ministeriales competentes, sindicatos, organizaciones empresariales y otras organizaciones representativas del sector cultural (tales como las entidades de gestión colectivas), así como los colegios de los profesionales sanitarios.</w:t>
      </w:r>
    </w:p>
    <w:p w14:paraId="4CDE622C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0A691B7D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7D50344B" w14:textId="77777777" w:rsidR="00930DA3" w:rsidRPr="00FA5B53" w:rsidRDefault="00930DA3" w:rsidP="00930DA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MS Mincho" w:hAnsi="Century Gothic" w:cs="Times New Roman"/>
          <w:color w:val="405364"/>
          <w:sz w:val="20"/>
          <w:u w:val="single"/>
        </w:rPr>
      </w:pPr>
      <w:r w:rsidRPr="00FA5B53">
        <w:rPr>
          <w:rFonts w:ascii="Century Gothic" w:eastAsia="MS Mincho" w:hAnsi="Century Gothic" w:cs="Times New Roman"/>
          <w:b/>
          <w:bCs/>
          <w:color w:val="405364"/>
          <w:sz w:val="20"/>
          <w:u w:val="single"/>
        </w:rPr>
        <w:t>Revisión de oficio de disconformidades</w:t>
      </w:r>
    </w:p>
    <w:p w14:paraId="08F30FB2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6FADC93F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 w:rsidRPr="004839DF">
        <w:rPr>
          <w:rFonts w:eastAsia="MS Mincho" w:cs="Times New Roman"/>
          <w:color w:val="405364"/>
        </w:rPr>
        <w:t xml:space="preserve">Por último, la Disposición final 4º del </w:t>
      </w:r>
      <w:r w:rsidRPr="00987244">
        <w:rPr>
          <w:rFonts w:eastAsia="MS Mincho" w:cs="Times New Roman"/>
          <w:color w:val="405364"/>
        </w:rPr>
        <w:t>RD-Ley 1/2023</w:t>
      </w:r>
      <w:r>
        <w:rPr>
          <w:rFonts w:eastAsia="MS Mincho" w:cs="Times New Roman"/>
          <w:color w:val="405364"/>
        </w:rPr>
        <w:t xml:space="preserve"> </w:t>
      </w:r>
      <w:r w:rsidRPr="004839DF">
        <w:rPr>
          <w:rFonts w:eastAsia="MS Mincho" w:cs="Times New Roman"/>
          <w:color w:val="405364"/>
        </w:rPr>
        <w:t xml:space="preserve">añade un nuevo apartado (número 5) del artículo 16 de la Ley General de la Seguridad Social, que introduce la posibilidad de que los </w:t>
      </w:r>
      <w:r w:rsidRPr="004839DF">
        <w:rPr>
          <w:rFonts w:eastAsia="MS Mincho" w:cs="Times New Roman"/>
          <w:color w:val="405364"/>
        </w:rPr>
        <w:lastRenderedPageBreak/>
        <w:t xml:space="preserve">organismos correspondientes de la Administración de la Seguridad Social, </w:t>
      </w:r>
      <w:r w:rsidRPr="00A6490C">
        <w:rPr>
          <w:rFonts w:eastAsia="MS Mincho" w:cs="Times New Roman"/>
          <w:b/>
          <w:bCs/>
          <w:color w:val="405364"/>
        </w:rPr>
        <w:t>en el supuesto de constatar datos no conformes de afiliación, altas, bajas o variaciones de datos</w:t>
      </w:r>
      <w:r w:rsidRPr="004839DF">
        <w:rPr>
          <w:rFonts w:eastAsia="MS Mincho" w:cs="Times New Roman"/>
          <w:color w:val="405364"/>
        </w:rPr>
        <w:t xml:space="preserve">, puedan </w:t>
      </w:r>
      <w:r w:rsidRPr="00A6490C">
        <w:rPr>
          <w:rFonts w:eastAsia="MS Mincho" w:cs="Times New Roman"/>
          <w:b/>
          <w:bCs/>
          <w:color w:val="405364"/>
        </w:rPr>
        <w:t>revisar de oficio los actos administrativos</w:t>
      </w:r>
      <w:r w:rsidRPr="004839DF">
        <w:rPr>
          <w:rFonts w:eastAsia="MS Mincho" w:cs="Times New Roman"/>
          <w:color w:val="405364"/>
        </w:rPr>
        <w:t xml:space="preserve"> dictados en dicha materia, dictando su sustitución otros para corregir dichas situaciones. </w:t>
      </w:r>
    </w:p>
    <w:p w14:paraId="790E6ED1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</w:p>
    <w:p w14:paraId="72D77E2D" w14:textId="6DE145A6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  <w:r>
        <w:rPr>
          <w:rFonts w:eastAsia="MS Mincho" w:cs="Times New Roman"/>
          <w:color w:val="405364"/>
        </w:rPr>
        <w:t>Esta</w:t>
      </w:r>
      <w:r w:rsidRPr="004839DF">
        <w:rPr>
          <w:rFonts w:eastAsia="MS Mincho" w:cs="Times New Roman"/>
          <w:color w:val="405364"/>
        </w:rPr>
        <w:t xml:space="preserve"> </w:t>
      </w:r>
      <w:r>
        <w:rPr>
          <w:rFonts w:eastAsia="MS Mincho" w:cs="Times New Roman"/>
          <w:color w:val="405364"/>
        </w:rPr>
        <w:t>disposición</w:t>
      </w:r>
      <w:r w:rsidRPr="004839DF">
        <w:rPr>
          <w:rFonts w:eastAsia="MS Mincho" w:cs="Times New Roman"/>
          <w:color w:val="405364"/>
        </w:rPr>
        <w:t xml:space="preserve"> </w:t>
      </w:r>
      <w:r w:rsidRPr="00A6490C">
        <w:rPr>
          <w:rFonts w:eastAsia="MS Mincho" w:cs="Times New Roman"/>
          <w:b/>
          <w:bCs/>
          <w:color w:val="405364"/>
        </w:rPr>
        <w:t>entrará en vigor el día siguiente al de la publicación este RD-Ley 1/2023 en el Boletín Oficial del Estado</w:t>
      </w:r>
      <w:r w:rsidRPr="004839DF">
        <w:rPr>
          <w:rFonts w:eastAsia="MS Mincho" w:cs="Times New Roman"/>
          <w:color w:val="405364"/>
        </w:rPr>
        <w:t>.</w:t>
      </w:r>
    </w:p>
    <w:p w14:paraId="270A0487" w14:textId="77777777" w:rsid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MS Mincho" w:cs="Times New Roman"/>
          <w:color w:val="405364"/>
        </w:rPr>
      </w:pPr>
      <w:r w:rsidRPr="004839DF">
        <w:rPr>
          <w:rFonts w:eastAsia="MS Mincho" w:cs="Times New Roman"/>
          <w:color w:val="405364"/>
        </w:rPr>
        <w:t xml:space="preserve">En definitiva, todas estas medidas no solamente aclaran el régimen aplicable en estos supuestos, sino que, además, limita el riesgo de los productores en la contratación de estos profesionales, al establecerse un </w:t>
      </w:r>
      <w:r w:rsidRPr="00A6490C">
        <w:rPr>
          <w:rFonts w:eastAsia="MS Mincho" w:cs="Times New Roman"/>
          <w:b/>
          <w:bCs/>
          <w:color w:val="405364"/>
        </w:rPr>
        <w:t>marco de seguridad jurídica en las relaciones entre ambas partes</w:t>
      </w:r>
      <w:r w:rsidRPr="004839DF">
        <w:rPr>
          <w:rFonts w:eastAsia="MS Mincho" w:cs="Times New Roman"/>
          <w:color w:val="405364"/>
        </w:rPr>
        <w:t>.</w:t>
      </w:r>
    </w:p>
    <w:p w14:paraId="465C649E" w14:textId="77777777" w:rsidR="00930DA3" w:rsidRPr="00276C6A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</w:p>
    <w:p w14:paraId="618CD65E" w14:textId="77777777" w:rsidR="00930DA3" w:rsidRPr="00276C6A" w:rsidRDefault="00930DA3" w:rsidP="00930DA3">
      <w:pPr>
        <w:spacing w:after="0" w:line="276" w:lineRule="auto"/>
        <w:rPr>
          <w:rFonts w:eastAsia="MS Mincho" w:cs="Times New Roman"/>
          <w:color w:val="405364"/>
          <w:lang w:eastAsia="es-ES"/>
        </w:rPr>
      </w:pPr>
      <w:r w:rsidRPr="00276C6A">
        <w:rPr>
          <w:rFonts w:eastAsia="MS Mincho" w:cs="Times New Roman"/>
          <w:color w:val="405364"/>
          <w:lang w:eastAsia="es-ES"/>
        </w:rPr>
        <w:t xml:space="preserve">En cualquier caso, quedamos a su disposición para cualquier duda o consulta que pueda surgir al respecto. </w:t>
      </w:r>
    </w:p>
    <w:p w14:paraId="7308AD3C" w14:textId="77777777" w:rsidR="00930DA3" w:rsidRPr="00276C6A" w:rsidRDefault="00930DA3" w:rsidP="00930DA3">
      <w:pPr>
        <w:spacing w:after="0" w:line="276" w:lineRule="auto"/>
        <w:rPr>
          <w:rFonts w:eastAsia="MS Mincho" w:cs="Times New Roman"/>
          <w:b/>
          <w:color w:val="405364"/>
        </w:rPr>
      </w:pPr>
    </w:p>
    <w:p w14:paraId="2EEAD5E0" w14:textId="77777777" w:rsidR="00930DA3" w:rsidRPr="00276C6A" w:rsidRDefault="00930DA3" w:rsidP="00930DA3">
      <w:pPr>
        <w:spacing w:after="0" w:line="276" w:lineRule="auto"/>
        <w:rPr>
          <w:rFonts w:eastAsia="MS Mincho" w:cs="Times New Roman"/>
          <w:b/>
          <w:color w:val="405364"/>
        </w:rPr>
      </w:pPr>
    </w:p>
    <w:p w14:paraId="021BCE9E" w14:textId="77777777" w:rsidR="00930DA3" w:rsidRPr="00C9483D" w:rsidRDefault="00930DA3" w:rsidP="00930DA3">
      <w:pPr>
        <w:spacing w:after="0" w:line="276" w:lineRule="auto"/>
        <w:jc w:val="right"/>
        <w:rPr>
          <w:rFonts w:eastAsia="MS Mincho" w:cs="Times New Roman"/>
          <w:b/>
          <w:color w:val="405364"/>
        </w:rPr>
      </w:pPr>
      <w:r w:rsidRPr="00C9483D">
        <w:rPr>
          <w:rFonts w:eastAsia="MS Mincho" w:cs="Times New Roman"/>
          <w:b/>
          <w:color w:val="405364"/>
        </w:rPr>
        <w:t>Área</w:t>
      </w:r>
      <w:r>
        <w:rPr>
          <w:rFonts w:eastAsia="MS Mincho" w:cs="Times New Roman"/>
          <w:b/>
          <w:color w:val="405364"/>
        </w:rPr>
        <w:t>s</w:t>
      </w:r>
      <w:r w:rsidRPr="00C9483D">
        <w:rPr>
          <w:rFonts w:eastAsia="MS Mincho" w:cs="Times New Roman"/>
          <w:b/>
          <w:color w:val="405364"/>
        </w:rPr>
        <w:t xml:space="preserve"> de Laboral y TMT de ECIJA</w:t>
      </w:r>
    </w:p>
    <w:p w14:paraId="7FD22783" w14:textId="77777777" w:rsidR="00930DA3" w:rsidRPr="00C9483D" w:rsidRDefault="00930DA3" w:rsidP="00930DA3">
      <w:pPr>
        <w:spacing w:after="0" w:line="276" w:lineRule="auto"/>
        <w:jc w:val="right"/>
        <w:rPr>
          <w:rFonts w:eastAsia="MS Mincho" w:cs="Times New Roman"/>
          <w:color w:val="405364"/>
        </w:rPr>
      </w:pPr>
      <w:hyperlink r:id="rId10" w:history="1">
        <w:r w:rsidRPr="00C9483D">
          <w:rPr>
            <w:rFonts w:eastAsia="MS Mincho" w:cs="Times New Roman"/>
            <w:color w:val="0000FF"/>
            <w:u w:val="single"/>
          </w:rPr>
          <w:t>info@ecija.com</w:t>
        </w:r>
      </w:hyperlink>
    </w:p>
    <w:p w14:paraId="3C42BB90" w14:textId="77777777" w:rsidR="00930DA3" w:rsidRPr="00276C6A" w:rsidRDefault="00930DA3" w:rsidP="00930DA3">
      <w:pPr>
        <w:spacing w:after="0" w:line="276" w:lineRule="auto"/>
        <w:jc w:val="right"/>
        <w:rPr>
          <w:rFonts w:eastAsia="MS Mincho" w:cs="Times New Roman"/>
          <w:color w:val="405364"/>
        </w:rPr>
      </w:pPr>
      <w:r w:rsidRPr="00C9483D">
        <w:rPr>
          <w:rFonts w:eastAsia="MS Mincho" w:cs="Times New Roman"/>
          <w:color w:val="405364"/>
        </w:rPr>
        <w:t>Telf.: + 34 91.781.61.60</w:t>
      </w:r>
    </w:p>
    <w:p w14:paraId="7639EB6F" w14:textId="77777777" w:rsidR="00930DA3" w:rsidRPr="00930DA3" w:rsidRDefault="00930DA3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MS Mincho" w:cs="Times New Roman"/>
          <w:color w:val="405364"/>
        </w:rPr>
      </w:pPr>
    </w:p>
    <w:p w14:paraId="7E8E8D88" w14:textId="2BDC5CD0" w:rsidR="00195D91" w:rsidRPr="00513E69" w:rsidRDefault="00195D91" w:rsidP="00930D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color w:val="244061"/>
          <w:szCs w:val="20"/>
        </w:rPr>
      </w:pPr>
    </w:p>
    <w:p w14:paraId="3DD885A1" w14:textId="77777777" w:rsidR="00195D91" w:rsidRPr="00513E69" w:rsidRDefault="00195D91" w:rsidP="00195D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entury Gothic" w:cs="Century Gothic"/>
          <w:color w:val="244061"/>
          <w:szCs w:val="20"/>
        </w:rPr>
      </w:pPr>
    </w:p>
    <w:p w14:paraId="45FA6A13" w14:textId="77777777" w:rsidR="00195D91" w:rsidRPr="00DA1E23" w:rsidRDefault="00195D91" w:rsidP="00195D91">
      <w:pPr>
        <w:rPr>
          <w:rFonts w:eastAsia="MS Mincho" w:cs="Times New Roman"/>
          <w:b/>
          <w:color w:val="405364"/>
        </w:rPr>
      </w:pPr>
    </w:p>
    <w:p w14:paraId="7CC92E46" w14:textId="4D01234C" w:rsidR="00930DA3" w:rsidRPr="00930DA3" w:rsidRDefault="00930DA3" w:rsidP="002D229F">
      <w:pPr>
        <w:spacing w:before="0" w:after="0"/>
        <w:jc w:val="left"/>
        <w:rPr>
          <w:rFonts w:eastAsiaTheme="majorEastAsia" w:cstheme="majorBidi"/>
          <w:b/>
          <w:color w:val="E63E30"/>
          <w:sz w:val="32"/>
          <w:szCs w:val="32"/>
        </w:rPr>
      </w:pPr>
    </w:p>
    <w:p w14:paraId="3FB3FBCB" w14:textId="76CF64C6" w:rsidR="00930DA3" w:rsidRPr="00930DA3" w:rsidRDefault="00930DA3" w:rsidP="002D229F">
      <w:pPr>
        <w:spacing w:before="0" w:after="0"/>
        <w:jc w:val="left"/>
        <w:rPr>
          <w:rFonts w:eastAsiaTheme="majorEastAsia" w:cstheme="majorBidi"/>
          <w:b/>
          <w:color w:val="E63E30"/>
          <w:sz w:val="32"/>
          <w:szCs w:val="32"/>
        </w:rPr>
      </w:pPr>
    </w:p>
    <w:p w14:paraId="0D59EB75" w14:textId="4DAA8DCB" w:rsidR="00930DA3" w:rsidRPr="00930DA3" w:rsidRDefault="00930DA3" w:rsidP="002D229F">
      <w:pPr>
        <w:spacing w:before="0" w:after="0"/>
        <w:jc w:val="left"/>
        <w:rPr>
          <w:rFonts w:eastAsiaTheme="majorEastAsia" w:cstheme="majorBidi"/>
          <w:b/>
          <w:color w:val="E63E30"/>
          <w:sz w:val="32"/>
          <w:szCs w:val="32"/>
        </w:rPr>
      </w:pPr>
    </w:p>
    <w:p w14:paraId="230E779E" w14:textId="7D0FBE30" w:rsidR="00930DA3" w:rsidRPr="00930DA3" w:rsidRDefault="00930DA3" w:rsidP="002D229F">
      <w:pPr>
        <w:spacing w:before="0" w:after="0"/>
        <w:jc w:val="left"/>
        <w:rPr>
          <w:rFonts w:eastAsiaTheme="majorEastAsia" w:cstheme="majorBidi"/>
          <w:b/>
          <w:color w:val="E63E30"/>
          <w:sz w:val="32"/>
          <w:szCs w:val="32"/>
        </w:rPr>
      </w:pPr>
    </w:p>
    <w:p w14:paraId="600036D0" w14:textId="0343C1AD" w:rsidR="00930DA3" w:rsidRPr="00930DA3" w:rsidRDefault="00930DA3" w:rsidP="002D229F">
      <w:pPr>
        <w:spacing w:before="0" w:after="0"/>
        <w:jc w:val="left"/>
        <w:rPr>
          <w:rFonts w:eastAsiaTheme="majorEastAsia" w:cstheme="majorBidi"/>
          <w:b/>
          <w:color w:val="E63E30"/>
          <w:sz w:val="32"/>
          <w:szCs w:val="32"/>
        </w:rPr>
      </w:pPr>
    </w:p>
    <w:p w14:paraId="5969C3D7" w14:textId="77777777" w:rsidR="00930DA3" w:rsidRPr="00930DA3" w:rsidRDefault="00930DA3" w:rsidP="002D229F">
      <w:pPr>
        <w:spacing w:before="0" w:after="0"/>
        <w:jc w:val="left"/>
        <w:rPr>
          <w:rFonts w:eastAsiaTheme="majorEastAsia" w:cstheme="majorBidi"/>
          <w:b/>
          <w:color w:val="E63E30"/>
          <w:sz w:val="32"/>
          <w:szCs w:val="32"/>
        </w:rPr>
      </w:pPr>
    </w:p>
    <w:sectPr w:rsidR="00930DA3" w:rsidRPr="00930DA3" w:rsidSect="002D229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51" w:right="1411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C5D7" w14:textId="77777777" w:rsidR="00D31CFB" w:rsidRDefault="00D31CFB" w:rsidP="004A111A">
      <w:pPr>
        <w:spacing w:before="0" w:after="0"/>
      </w:pPr>
      <w:r>
        <w:separator/>
      </w:r>
    </w:p>
  </w:endnote>
  <w:endnote w:type="continuationSeparator" w:id="0">
    <w:p w14:paraId="51E39559" w14:textId="77777777" w:rsidR="00D31CFB" w:rsidRDefault="00D31CFB" w:rsidP="004A11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29890321"/>
      <w:docPartObj>
        <w:docPartGallery w:val="Page Numbers (Bottom of Page)"/>
        <w:docPartUnique/>
      </w:docPartObj>
    </w:sdtPr>
    <w:sdtContent>
      <w:p w14:paraId="61EF23B1" w14:textId="0B1A09D2" w:rsidR="002D229F" w:rsidRDefault="002D229F" w:rsidP="00A46B7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392CA5" w14:textId="77777777" w:rsidR="002D229F" w:rsidRDefault="002D229F" w:rsidP="002D229F">
    <w:pPr>
      <w:pStyle w:val="Piedepgina"/>
      <w:ind w:right="360"/>
    </w:pPr>
  </w:p>
  <w:p w14:paraId="65B81572" w14:textId="77777777" w:rsidR="00000000" w:rsidRDefault="00000000"/>
  <w:p w14:paraId="2406418A" w14:textId="77777777" w:rsidR="00000000" w:rsidRDefault="00000000"/>
  <w:p w14:paraId="4E31C330" w14:textId="77777777" w:rsidR="00000000" w:rsidRDefault="00000000"/>
  <w:p w14:paraId="42212DD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53151608"/>
      <w:docPartObj>
        <w:docPartGallery w:val="Page Numbers (Bottom of Page)"/>
        <w:docPartUnique/>
      </w:docPartObj>
    </w:sdtPr>
    <w:sdtContent>
      <w:p w14:paraId="5F8A02C2" w14:textId="2BCD31C6" w:rsidR="002D229F" w:rsidRDefault="002D229F" w:rsidP="002D229F">
        <w:pPr>
          <w:pStyle w:val="Piedepgina"/>
          <w:framePr w:wrap="none" w:vAnchor="text" w:hAnchor="page" w:x="10325" w:y="189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C98B97F" w14:textId="77777777" w:rsidR="002D229F" w:rsidRDefault="002D229F" w:rsidP="002D229F">
    <w:pPr>
      <w:pStyle w:val="Piedepgina"/>
      <w:ind w:right="14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924682" wp14:editId="11A78B52">
          <wp:simplePos x="0" y="0"/>
          <wp:positionH relativeFrom="column">
            <wp:posOffset>-60960</wp:posOffset>
          </wp:positionH>
          <wp:positionV relativeFrom="paragraph">
            <wp:posOffset>-23333</wp:posOffset>
          </wp:positionV>
          <wp:extent cx="5981700" cy="4707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0" cy="47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2AB0B" w14:textId="77777777" w:rsidR="00000000" w:rsidRDefault="00000000"/>
  <w:p w14:paraId="3EFDC2A0" w14:textId="77777777" w:rsidR="00000000" w:rsidRDefault="00000000"/>
  <w:p w14:paraId="70861B53" w14:textId="77777777" w:rsidR="00000000" w:rsidRDefault="00000000"/>
  <w:p w14:paraId="774EF893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15243586"/>
      <w:docPartObj>
        <w:docPartGallery w:val="Page Numbers (Bottom of Page)"/>
        <w:docPartUnique/>
      </w:docPartObj>
    </w:sdtPr>
    <w:sdtContent>
      <w:p w14:paraId="3F560C4A" w14:textId="0193C272" w:rsidR="002D229F" w:rsidRDefault="002D229F" w:rsidP="002D229F">
        <w:pPr>
          <w:pStyle w:val="Piedepgina"/>
          <w:framePr w:wrap="none" w:vAnchor="text" w:hAnchor="page" w:x="10262" w:y="235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</w:p>
    </w:sdtContent>
  </w:sdt>
  <w:p w14:paraId="6322520A" w14:textId="77777777" w:rsidR="004A111A" w:rsidRDefault="002D229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133C13" wp14:editId="48F47C0B">
          <wp:simplePos x="0" y="0"/>
          <wp:positionH relativeFrom="column">
            <wp:posOffset>-61595</wp:posOffset>
          </wp:positionH>
          <wp:positionV relativeFrom="paragraph">
            <wp:posOffset>-15402</wp:posOffset>
          </wp:positionV>
          <wp:extent cx="5936843" cy="467170"/>
          <wp:effectExtent l="0" t="0" r="0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843" cy="46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91B57" w14:textId="77777777" w:rsidR="00000000" w:rsidRDefault="00000000"/>
  <w:p w14:paraId="2948A136" w14:textId="77777777" w:rsidR="00000000" w:rsidRDefault="00000000"/>
  <w:p w14:paraId="688EA139" w14:textId="77777777" w:rsidR="00000000" w:rsidRDefault="00000000"/>
  <w:p w14:paraId="69FD584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5B20" w14:textId="77777777" w:rsidR="00D31CFB" w:rsidRDefault="00D31CFB" w:rsidP="004A111A">
      <w:pPr>
        <w:spacing w:before="0" w:after="0"/>
      </w:pPr>
      <w:r>
        <w:separator/>
      </w:r>
    </w:p>
  </w:footnote>
  <w:footnote w:type="continuationSeparator" w:id="0">
    <w:p w14:paraId="793B7D23" w14:textId="77777777" w:rsidR="00D31CFB" w:rsidRDefault="00D31CFB" w:rsidP="004A11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EDA4" w14:textId="741BBF6D" w:rsidR="00000000" w:rsidRDefault="002D229F" w:rsidP="00930DA3">
    <w:pPr>
      <w:pStyle w:val="Encabezado"/>
    </w:pPr>
    <w:r>
      <w:rPr>
        <w:noProof/>
      </w:rPr>
      <w:drawing>
        <wp:inline distT="0" distB="0" distL="0" distR="0" wp14:anchorId="646E819C" wp14:editId="7E6F1C01">
          <wp:extent cx="203200" cy="271145"/>
          <wp:effectExtent l="0" t="0" r="0" b="8255"/>
          <wp:docPr id="6" name="Imagen 18" descr="Descripción: Data:S2_WONTON TRABAJOS:S2_ECIJA:ECIJA_Piezas corporativas:ECIJA_Hoja:ECIJA_word:logo responsiv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Data:S2_WONTON TRABAJOS:S2_ECIJA:ECIJA_Piezas corporativas:ECIJA_Hoja:ECIJA_word:logo responsiv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EA893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9E6D" w14:textId="4C919604" w:rsidR="00000000" w:rsidRDefault="000B6003" w:rsidP="00930DA3">
    <w:pPr>
      <w:pStyle w:val="Encabezado"/>
    </w:pPr>
    <w:r>
      <w:rPr>
        <w:noProof/>
      </w:rPr>
      <w:drawing>
        <wp:inline distT="0" distB="0" distL="0" distR="0" wp14:anchorId="2456FDE2" wp14:editId="6307EEB3">
          <wp:extent cx="3054350" cy="5842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D2A5C"/>
    <w:multiLevelType w:val="hybridMultilevel"/>
    <w:tmpl w:val="9064C10C"/>
    <w:lvl w:ilvl="0" w:tplc="8432D7C4">
      <w:start w:val="1"/>
      <w:numFmt w:val="upperRoman"/>
      <w:lvlText w:val="(%1)"/>
      <w:lvlJc w:val="left"/>
      <w:pPr>
        <w:ind w:left="720" w:hanging="720"/>
      </w:pPr>
      <w:rPr>
        <w:rFonts w:hint="default"/>
        <w:b/>
        <w:color w:val="E63E3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122C2"/>
    <w:multiLevelType w:val="hybridMultilevel"/>
    <w:tmpl w:val="664035B2"/>
    <w:lvl w:ilvl="0" w:tplc="6DB08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3E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25309"/>
    <w:multiLevelType w:val="hybridMultilevel"/>
    <w:tmpl w:val="1C8C951C"/>
    <w:lvl w:ilvl="0" w:tplc="B516BD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53B45"/>
    <w:multiLevelType w:val="hybridMultilevel"/>
    <w:tmpl w:val="61883A50"/>
    <w:lvl w:ilvl="0" w:tplc="6DB08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3E30"/>
      </w:rPr>
    </w:lvl>
    <w:lvl w:ilvl="1" w:tplc="7B62C0AC">
      <w:numFmt w:val="bullet"/>
      <w:lvlText w:val="•"/>
      <w:lvlJc w:val="left"/>
      <w:pPr>
        <w:ind w:left="1790" w:hanging="710"/>
      </w:pPr>
      <w:rPr>
        <w:rFonts w:ascii="Century Gothic" w:eastAsia="MS Mincho" w:hAnsi="Century Gothic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722677">
    <w:abstractNumId w:val="0"/>
  </w:num>
  <w:num w:numId="2" w16cid:durableId="185218727">
    <w:abstractNumId w:val="1"/>
  </w:num>
  <w:num w:numId="3" w16cid:durableId="302128427">
    <w:abstractNumId w:val="3"/>
  </w:num>
  <w:num w:numId="4" w16cid:durableId="147869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CC"/>
    <w:rsid w:val="000B6003"/>
    <w:rsid w:val="001944F3"/>
    <w:rsid w:val="00195D91"/>
    <w:rsid w:val="002D229F"/>
    <w:rsid w:val="003C64CC"/>
    <w:rsid w:val="004A111A"/>
    <w:rsid w:val="007E474D"/>
    <w:rsid w:val="00930DA3"/>
    <w:rsid w:val="00D31CFB"/>
    <w:rsid w:val="00D6262A"/>
    <w:rsid w:val="00D914EA"/>
    <w:rsid w:val="00E4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71FD"/>
  <w15:chartTrackingRefBased/>
  <w15:docId w15:val="{7DD66CAB-7F6F-4E18-8FEF-88B2642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CIJA Cuerpo de Texto"/>
    <w:qFormat/>
    <w:rsid w:val="004A111A"/>
    <w:pPr>
      <w:spacing w:before="120" w:after="120"/>
      <w:jc w:val="both"/>
    </w:pPr>
    <w:rPr>
      <w:rFonts w:ascii="Century Gothic" w:hAnsi="Century Gothic"/>
      <w:color w:val="425363"/>
      <w:sz w:val="20"/>
    </w:rPr>
  </w:style>
  <w:style w:type="paragraph" w:styleId="Ttulo1">
    <w:name w:val="heading 1"/>
    <w:basedOn w:val="Normal"/>
    <w:next w:val="Subttulo"/>
    <w:link w:val="Ttulo1Car"/>
    <w:uiPriority w:val="9"/>
    <w:rsid w:val="004A111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color w:val="E63E3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aliases w:val="ECIJA Subtítulo"/>
    <w:basedOn w:val="Normal"/>
    <w:next w:val="Normal"/>
    <w:link w:val="SubttuloCar"/>
    <w:uiPriority w:val="11"/>
    <w:rsid w:val="004A111A"/>
    <w:pPr>
      <w:numPr>
        <w:ilvl w:val="1"/>
      </w:numPr>
      <w:spacing w:after="160"/>
    </w:pPr>
    <w:rPr>
      <w:rFonts w:eastAsiaTheme="minorEastAsia" w:cs="Times New Roman (Cuerpo en alfa"/>
      <w:b/>
      <w:sz w:val="24"/>
      <w:szCs w:val="22"/>
    </w:rPr>
  </w:style>
  <w:style w:type="character" w:customStyle="1" w:styleId="SubttuloCar">
    <w:name w:val="Subtítulo Car"/>
    <w:aliases w:val="ECIJA Subtítulo Car"/>
    <w:basedOn w:val="Fuentedeprrafopredeter"/>
    <w:link w:val="Subttulo"/>
    <w:uiPriority w:val="11"/>
    <w:rsid w:val="004A111A"/>
    <w:rPr>
      <w:rFonts w:ascii="Century Gothic" w:eastAsiaTheme="minorEastAsia" w:hAnsi="Century Gothic" w:cs="Times New Roman (Cuerpo en alfa"/>
      <w:b/>
      <w:color w:val="425363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4A111A"/>
    <w:rPr>
      <w:rFonts w:ascii="Century Gothic" w:eastAsiaTheme="majorEastAsia" w:hAnsi="Century Gothic" w:cstheme="majorBidi"/>
      <w:b/>
      <w:color w:val="E63E30"/>
      <w:sz w:val="32"/>
      <w:szCs w:val="32"/>
    </w:rPr>
  </w:style>
  <w:style w:type="paragraph" w:customStyle="1" w:styleId="ECIJATtulo">
    <w:name w:val="ECIJA Título"/>
    <w:basedOn w:val="Normal"/>
    <w:qFormat/>
    <w:rsid w:val="004A111A"/>
    <w:pPr>
      <w:spacing w:before="0" w:after="0"/>
    </w:pPr>
    <w:rPr>
      <w:rFonts w:eastAsia="MS Mincho" w:cs="Times New Roman"/>
      <w:b/>
      <w:color w:val="E73C2F"/>
      <w:sz w:val="32"/>
      <w:lang w:val="es-ES_tradnl" w:eastAsia="es-ES"/>
    </w:rPr>
  </w:style>
  <w:style w:type="paragraph" w:customStyle="1" w:styleId="ECIJAEntradilla">
    <w:name w:val="ECIJA Entradilla"/>
    <w:basedOn w:val="ECIJATtulo"/>
    <w:qFormat/>
    <w:rsid w:val="004A111A"/>
    <w:rPr>
      <w:color w:val="405364"/>
      <w:sz w:val="24"/>
    </w:rPr>
  </w:style>
  <w:style w:type="paragraph" w:customStyle="1" w:styleId="ECIJACuerpoTexto">
    <w:name w:val="ECIJA Cuerpo Texto"/>
    <w:basedOn w:val="Normal"/>
    <w:rsid w:val="004A111A"/>
    <w:pPr>
      <w:spacing w:before="0" w:after="0"/>
      <w:jc w:val="left"/>
    </w:pPr>
    <w:rPr>
      <w:rFonts w:eastAsia="MS Mincho" w:cs="Times New Roman"/>
      <w:color w:val="405364"/>
      <w:lang w:val="es-ES_tradnl" w:eastAsia="es-ES"/>
    </w:rPr>
  </w:style>
  <w:style w:type="paragraph" w:customStyle="1" w:styleId="ECIJASubtitulo">
    <w:name w:val="ECIJA Subtitulo"/>
    <w:basedOn w:val="ECIJATtulo"/>
    <w:rsid w:val="004A111A"/>
    <w:rPr>
      <w:color w:val="405364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A111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A111A"/>
    <w:rPr>
      <w:rFonts w:ascii="Century Gothic" w:hAnsi="Century Gothic"/>
      <w:color w:val="425363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A111A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11A"/>
    <w:rPr>
      <w:rFonts w:ascii="Century Gothic" w:hAnsi="Century Gothic"/>
      <w:color w:val="425363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D229F"/>
  </w:style>
  <w:style w:type="paragraph" w:styleId="Prrafodelista">
    <w:name w:val="List Paragraph"/>
    <w:basedOn w:val="Normal"/>
    <w:uiPriority w:val="34"/>
    <w:rsid w:val="00195D91"/>
    <w:pPr>
      <w:spacing w:before="0" w:after="0"/>
      <w:ind w:left="720"/>
      <w:contextualSpacing/>
      <w:jc w:val="left"/>
    </w:pPr>
    <w:rPr>
      <w:rFonts w:ascii="Cambria" w:eastAsia="Cambria" w:hAnsi="Cambria" w:cs="Cambria"/>
      <w:color w:val="auto"/>
      <w:sz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DA3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DA3"/>
    <w:rPr>
      <w:rFonts w:ascii="Century Gothic" w:hAnsi="Century Gothic"/>
      <w:color w:val="42536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DA3"/>
    <w:pPr>
      <w:spacing w:before="0" w:after="160"/>
      <w:jc w:val="left"/>
    </w:pPr>
    <w:rPr>
      <w:rFonts w:asciiTheme="minorHAnsi" w:hAnsiTheme="minorHAns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DA3"/>
    <w:rPr>
      <w:rFonts w:ascii="Century Gothic" w:hAnsi="Century Gothic"/>
      <w:b/>
      <w:bCs/>
      <w:color w:val="42536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info@ecij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ardo\Downloads\Plantilla_ECIJA_Nota%20informa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CE33CE031D60458735B7D5534D7BB5" ma:contentTypeVersion="15" ma:contentTypeDescription="Crear nuevo documento." ma:contentTypeScope="" ma:versionID="8dbe183da389bb977e778f5c971e327e">
  <xsd:schema xmlns:xsd="http://www.w3.org/2001/XMLSchema" xmlns:xs="http://www.w3.org/2001/XMLSchema" xmlns:p="http://schemas.microsoft.com/office/2006/metadata/properties" xmlns:ns2="1121c1c4-f34b-489f-ac6f-93d89a26269d" xmlns:ns3="b15e2a54-b319-4d2d-8a33-9b14836200cc" targetNamespace="http://schemas.microsoft.com/office/2006/metadata/properties" ma:root="true" ma:fieldsID="8e0dc7235a3e7e614140b0548a760ca8" ns2:_="" ns3:_="">
    <xsd:import namespace="1121c1c4-f34b-489f-ac6f-93d89a26269d"/>
    <xsd:import namespace="b15e2a54-b319-4d2d-8a33-9b1483620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c1c4-f34b-489f-ac6f-93d89a262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00bf7527-542c-44e0-bdc8-cde1e6cc2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2a54-b319-4d2d-8a33-9b1483620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73711e-4d61-4a03-8548-3ffda4d49cce}" ma:internalName="TaxCatchAll" ma:showField="CatchAllData" ma:web="b15e2a54-b319-4d2d-8a33-9b148362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1c1c4-f34b-489f-ac6f-93d89a26269d">
      <Terms xmlns="http://schemas.microsoft.com/office/infopath/2007/PartnerControls"/>
    </lcf76f155ced4ddcb4097134ff3c332f>
    <TaxCatchAll xmlns="b15e2a54-b319-4d2d-8a33-9b14836200cc" xsi:nil="true"/>
    <SharedWithUsers xmlns="b15e2a54-b319-4d2d-8a33-9b14836200cc">
      <UserInfo>
        <DisplayName>Juan Antonio Montenegro Calero</DisplayName>
        <AccountId>1175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F6AE5-AE9E-47B0-AE19-8DE84206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1c1c4-f34b-489f-ac6f-93d89a26269d"/>
    <ds:schemaRef ds:uri="b15e2a54-b319-4d2d-8a33-9b148362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E9CD4-1043-4A0B-B111-2F86F1F6BF14}">
  <ds:schemaRefs>
    <ds:schemaRef ds:uri="http://schemas.microsoft.com/office/2006/metadata/properties"/>
    <ds:schemaRef ds:uri="http://schemas.microsoft.com/office/infopath/2007/PartnerControls"/>
    <ds:schemaRef ds:uri="1121c1c4-f34b-489f-ac6f-93d89a26269d"/>
    <ds:schemaRef ds:uri="b15e2a54-b319-4d2d-8a33-9b14836200cc"/>
  </ds:schemaRefs>
</ds:datastoreItem>
</file>

<file path=customXml/itemProps3.xml><?xml version="1.0" encoding="utf-8"?>
<ds:datastoreItem xmlns:ds="http://schemas.openxmlformats.org/officeDocument/2006/customXml" ds:itemID="{845EFC5F-9A0E-4FBB-BDD8-D3D144AC8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Plantilla_ECIJA_Nota informativa</Template>
  <TotalTime>1</TotalTime>
  <Pages>8</Pages>
  <Words>2533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Valme Pardo Vicente</dc:creator>
  <cp:keywords/>
  <dc:description/>
  <cp:lastModifiedBy>Valme Pardo Vicente</cp:lastModifiedBy>
  <cp:revision>2</cp:revision>
  <dcterms:created xsi:type="dcterms:W3CDTF">2023-01-19T10:16:00Z</dcterms:created>
  <dcterms:modified xsi:type="dcterms:W3CDTF">2023-01-19T10:16:00Z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0x01010013CE33CE031D60458735B7D5534D7BB5</vt:lpwstr>
  </property>
  <property fmtid="{D5CDD505-2E9C-101B-9397-08002B2CF9AE}" pid="3" name="MediaServiceImageTags">
    <vt:lpwstr/>
  </property>
</Properties>
</file>